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99" w:rsidRDefault="0006779C" w:rsidP="001909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47312D">
        <w:rPr>
          <w:rFonts w:ascii="Times New Roman" w:hAnsi="Times New Roman"/>
          <w:b/>
          <w:i/>
          <w:sz w:val="28"/>
          <w:szCs w:val="28"/>
        </w:rPr>
        <w:t>7.4</w:t>
      </w:r>
      <w:r w:rsidR="00511B04">
        <w:rPr>
          <w:rFonts w:ascii="Times New Roman" w:hAnsi="Times New Roman"/>
          <w:b/>
          <w:i/>
          <w:sz w:val="28"/>
          <w:szCs w:val="28"/>
        </w:rPr>
        <w:t>.</w:t>
      </w:r>
      <w:r w:rsidRPr="0047312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Краткосрочное п</w:t>
      </w:r>
      <w:r w:rsidRPr="0047312D">
        <w:rPr>
          <w:rFonts w:ascii="Times New Roman" w:hAnsi="Times New Roman"/>
          <w:b/>
          <w:i/>
          <w:sz w:val="28"/>
          <w:szCs w:val="28"/>
        </w:rPr>
        <w:t>рогнозирование параметров ЭЭС на базе интеллектуальных моделей</w:t>
      </w:r>
    </w:p>
    <w:p w:rsidR="00511B04" w:rsidRDefault="00511B04" w:rsidP="00511B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0999" w:rsidRDefault="00190999" w:rsidP="00511B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Курбацкий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В.Г., Томин Н.В.</w:t>
      </w:r>
    </w:p>
    <w:p w:rsidR="00190999" w:rsidRPr="0047312D" w:rsidRDefault="00190999" w:rsidP="00511B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ИСЭМ СО РАН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Необходимым условием эффективного управления современным ЭЭС является наличие инструмента краткосрочного прогнозирования. Актуальность этой задачи определяется тем, что при анализе и формировании управляющих воздействий только по прошлым данным получается запаздывающая реакция на поведение ЭЭС, что является причиной завышенных требований к запасам статической и динамической устойчивости, а также снижает эффективность систем управления. </w:t>
      </w:r>
      <w:proofErr w:type="gramStart"/>
      <w:r>
        <w:rPr>
          <w:rFonts w:ascii="Times New Roman" w:hAnsi="Times New Roman"/>
          <w:sz w:val="28"/>
          <w:szCs w:val="28"/>
        </w:rPr>
        <w:t>При решении задач управления в современных ЭЭС необходим прогноз:</w:t>
      </w:r>
      <w:proofErr w:type="gramEnd"/>
    </w:p>
    <w:p w:rsidR="0006779C" w:rsidRDefault="0006779C" w:rsidP="0006779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поведения систем управления и регулируемых элементов;</w:t>
      </w:r>
    </w:p>
    <w:p w:rsidR="0006779C" w:rsidRDefault="0006779C" w:rsidP="0006779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поведения нагрузки и генерации с учётом графиков или профилей нагрузок;</w:t>
      </w:r>
    </w:p>
    <w:p w:rsidR="0006779C" w:rsidRDefault="0006779C" w:rsidP="0006779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случайного изменения нагрузки с использованием статистических данных по отклонениям;</w:t>
      </w:r>
    </w:p>
    <w:p w:rsidR="0006779C" w:rsidRDefault="0006779C" w:rsidP="0006779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 и отказов с учётом вероятности отказов отдельных элементов; </w:t>
      </w:r>
    </w:p>
    <w:p w:rsidR="0006779C" w:rsidRDefault="0006779C" w:rsidP="0006779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ряда зависимых характеристик для системы управления (мощность </w:t>
      </w:r>
      <w:proofErr w:type="spellStart"/>
      <w:r>
        <w:rPr>
          <w:rFonts w:ascii="Times New Roman" w:hAnsi="Times New Roman"/>
          <w:sz w:val="28"/>
          <w:szCs w:val="28"/>
        </w:rPr>
        <w:t>ветроустановок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цены на электроэнергию и др.).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инструмент краткосрочного прогнозирования должен обеспечить прогнозные значения режимных параметров ЭЭС (совместно с их вероятностными характеристиками), а также набор наиболее вероятных вариантов, отличных от основного прогноза. Задачи краткосрочного прогнозирования требуют индивидуальной настройки под каждую реальную систему регулирования, систему управления, под конкретный состав нагрузки в узлах ЭЭС. Кроме того, у</w:t>
      </w:r>
      <w:r w:rsidRPr="00C3272E">
        <w:rPr>
          <w:rFonts w:ascii="Times New Roman" w:hAnsi="Times New Roman"/>
          <w:sz w:val="28"/>
          <w:szCs w:val="28"/>
        </w:rPr>
        <w:t xml:space="preserve">сложнение топологии электрических сетей, увеличение количества возобновляемых источников энергии в общей доле генерации, а также особенности </w:t>
      </w:r>
      <w:proofErr w:type="spellStart"/>
      <w:r w:rsidRPr="00C3272E">
        <w:rPr>
          <w:rFonts w:ascii="Times New Roman" w:hAnsi="Times New Roman"/>
          <w:sz w:val="28"/>
          <w:szCs w:val="28"/>
        </w:rPr>
        <w:t>либерализованного</w:t>
      </w:r>
      <w:proofErr w:type="spellEnd"/>
      <w:r w:rsidRPr="00C3272E">
        <w:rPr>
          <w:rFonts w:ascii="Times New Roman" w:hAnsi="Times New Roman"/>
          <w:sz w:val="28"/>
          <w:szCs w:val="28"/>
        </w:rPr>
        <w:t xml:space="preserve"> рынка электроэнергии многих стран вынуждают специалистов искать новые подходы по прогнозированию с целью повышения точности предсказания </w:t>
      </w:r>
      <w:proofErr w:type="spellStart"/>
      <w:r w:rsidRPr="00C3272E">
        <w:rPr>
          <w:rFonts w:ascii="Times New Roman" w:hAnsi="Times New Roman"/>
          <w:sz w:val="28"/>
          <w:szCs w:val="28"/>
        </w:rPr>
        <w:t>резкоизменчивых</w:t>
      </w:r>
      <w:proofErr w:type="spellEnd"/>
      <w:r w:rsidRPr="00C3272E">
        <w:rPr>
          <w:rFonts w:ascii="Times New Roman" w:hAnsi="Times New Roman"/>
          <w:sz w:val="28"/>
          <w:szCs w:val="28"/>
        </w:rPr>
        <w:t xml:space="preserve">, нестационарных временных рядов, которые характеризуют многие реализации параметров современных ЭЭС.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EE2">
        <w:rPr>
          <w:rFonts w:ascii="Times New Roman" w:hAnsi="Times New Roman"/>
          <w:sz w:val="28"/>
          <w:szCs w:val="28"/>
        </w:rPr>
        <w:t>Традиционно задача</w:t>
      </w:r>
      <w:r>
        <w:rPr>
          <w:rFonts w:ascii="Times New Roman" w:hAnsi="Times New Roman"/>
          <w:sz w:val="28"/>
          <w:szCs w:val="28"/>
        </w:rPr>
        <w:t xml:space="preserve"> краткосрочного</w:t>
      </w:r>
      <w:r w:rsidRPr="00DC7EE2">
        <w:rPr>
          <w:rFonts w:ascii="Times New Roman" w:hAnsi="Times New Roman"/>
          <w:sz w:val="28"/>
          <w:szCs w:val="28"/>
        </w:rPr>
        <w:t xml:space="preserve"> прогнозирования </w:t>
      </w:r>
      <w:r>
        <w:rPr>
          <w:rFonts w:ascii="Times New Roman" w:hAnsi="Times New Roman"/>
          <w:sz w:val="28"/>
          <w:szCs w:val="28"/>
        </w:rPr>
        <w:t>параметров в ЭЭС</w:t>
      </w:r>
      <w:r w:rsidRPr="00DC7EE2">
        <w:rPr>
          <w:rFonts w:ascii="Times New Roman" w:hAnsi="Times New Roman"/>
          <w:sz w:val="28"/>
          <w:szCs w:val="28"/>
        </w:rPr>
        <w:t xml:space="preserve"> выполнялась преимущественно с использованием статистических методов, основанных, например, на авторегрессии интегрированного скользящего среднего (АРПСС), фильтр</w:t>
      </w:r>
      <w:r>
        <w:rPr>
          <w:rFonts w:ascii="Times New Roman" w:hAnsi="Times New Roman"/>
          <w:sz w:val="28"/>
          <w:szCs w:val="28"/>
        </w:rPr>
        <w:t>е</w:t>
      </w:r>
      <w:r w:rsidRPr="00DC7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EE2">
        <w:rPr>
          <w:rFonts w:ascii="Times New Roman" w:hAnsi="Times New Roman"/>
          <w:sz w:val="28"/>
          <w:szCs w:val="28"/>
        </w:rPr>
        <w:t>Калмана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C08">
        <w:rPr>
          <w:rFonts w:ascii="Times New Roman" w:hAnsi="Times New Roman"/>
          <w:sz w:val="28"/>
          <w:szCs w:val="28"/>
        </w:rPr>
        <w:t>[4]</w:t>
      </w:r>
      <w:r w:rsidRPr="00DC7E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EE2"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>,</w:t>
      </w:r>
      <w:r w:rsidRPr="00DC7EE2">
        <w:rPr>
          <w:rFonts w:ascii="Times New Roman" w:hAnsi="Times New Roman"/>
          <w:sz w:val="28"/>
          <w:szCs w:val="28"/>
        </w:rPr>
        <w:t xml:space="preserve"> за </w:t>
      </w:r>
      <w:r w:rsidRPr="00DC7EE2">
        <w:rPr>
          <w:rFonts w:ascii="Times New Roman" w:hAnsi="Times New Roman"/>
          <w:sz w:val="28"/>
          <w:szCs w:val="28"/>
        </w:rPr>
        <w:lastRenderedPageBreak/>
        <w:t>последние несколько десятилетий</w:t>
      </w:r>
      <w:r>
        <w:rPr>
          <w:rFonts w:ascii="Times New Roman" w:hAnsi="Times New Roman"/>
          <w:sz w:val="28"/>
          <w:szCs w:val="28"/>
        </w:rPr>
        <w:t xml:space="preserve"> методы машинного обучения прежде всего</w:t>
      </w:r>
      <w:r w:rsidRPr="00C3272E">
        <w:rPr>
          <w:rFonts w:ascii="Times New Roman" w:hAnsi="Times New Roman"/>
          <w:sz w:val="28"/>
          <w:szCs w:val="28"/>
        </w:rPr>
        <w:t xml:space="preserve"> искусственны</w:t>
      </w:r>
      <w:r>
        <w:rPr>
          <w:rFonts w:ascii="Times New Roman" w:hAnsi="Times New Roman"/>
          <w:sz w:val="28"/>
          <w:szCs w:val="28"/>
        </w:rPr>
        <w:t>х</w:t>
      </w:r>
      <w:r w:rsidRPr="00C3272E">
        <w:rPr>
          <w:rFonts w:ascii="Times New Roman" w:hAnsi="Times New Roman"/>
          <w:sz w:val="28"/>
          <w:szCs w:val="28"/>
        </w:rPr>
        <w:t xml:space="preserve"> нейронны</w:t>
      </w:r>
      <w:r>
        <w:rPr>
          <w:rFonts w:ascii="Times New Roman" w:hAnsi="Times New Roman"/>
          <w:sz w:val="28"/>
          <w:szCs w:val="28"/>
        </w:rPr>
        <w:t>е</w:t>
      </w:r>
      <w:r w:rsidRPr="00C3272E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3272E">
        <w:rPr>
          <w:rFonts w:ascii="Times New Roman" w:hAnsi="Times New Roman"/>
          <w:sz w:val="28"/>
          <w:szCs w:val="28"/>
        </w:rPr>
        <w:t>(ИНС) [</w:t>
      </w:r>
      <w:r w:rsidRPr="000D2083">
        <w:rPr>
          <w:rFonts w:ascii="Times New Roman" w:hAnsi="Times New Roman"/>
          <w:sz w:val="28"/>
          <w:szCs w:val="28"/>
        </w:rPr>
        <w:t>5</w:t>
      </w:r>
      <w:r w:rsidRPr="00C3272E">
        <w:rPr>
          <w:rFonts w:ascii="Times New Roman" w:hAnsi="Times New Roman"/>
          <w:sz w:val="28"/>
          <w:szCs w:val="28"/>
        </w:rPr>
        <w:t>-</w:t>
      </w:r>
      <w:r w:rsidRPr="000D2083">
        <w:rPr>
          <w:rFonts w:ascii="Times New Roman" w:hAnsi="Times New Roman"/>
          <w:sz w:val="28"/>
          <w:szCs w:val="28"/>
        </w:rPr>
        <w:t>7</w:t>
      </w:r>
      <w:r w:rsidRPr="00C3272E">
        <w:rPr>
          <w:rFonts w:ascii="Times New Roman" w:hAnsi="Times New Roman"/>
          <w:sz w:val="28"/>
          <w:szCs w:val="28"/>
        </w:rPr>
        <w:t>], метод опорных векторов (МОВ) [</w:t>
      </w:r>
      <w:r w:rsidRPr="000D2083">
        <w:rPr>
          <w:rFonts w:ascii="Times New Roman" w:hAnsi="Times New Roman"/>
          <w:sz w:val="28"/>
          <w:szCs w:val="28"/>
        </w:rPr>
        <w:t>8</w:t>
      </w:r>
      <w:r w:rsidRPr="00C3272E">
        <w:rPr>
          <w:rFonts w:ascii="Times New Roman" w:hAnsi="Times New Roman"/>
          <w:sz w:val="28"/>
          <w:szCs w:val="28"/>
        </w:rPr>
        <w:t>-</w:t>
      </w:r>
      <w:r w:rsidRPr="000D2083">
        <w:rPr>
          <w:rFonts w:ascii="Times New Roman" w:hAnsi="Times New Roman"/>
          <w:sz w:val="28"/>
          <w:szCs w:val="28"/>
        </w:rPr>
        <w:t>11</w:t>
      </w:r>
      <w:r w:rsidRPr="00C3272E">
        <w:rPr>
          <w:rFonts w:ascii="Times New Roman" w:hAnsi="Times New Roman"/>
          <w:sz w:val="28"/>
          <w:szCs w:val="28"/>
        </w:rPr>
        <w:t xml:space="preserve">], </w:t>
      </w:r>
      <w:r>
        <w:rPr>
          <w:rFonts w:ascii="Times New Roman" w:hAnsi="Times New Roman"/>
          <w:sz w:val="28"/>
          <w:szCs w:val="28"/>
        </w:rPr>
        <w:t>деревья решений (</w:t>
      </w:r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gramEnd"/>
      <w:r>
        <w:rPr>
          <w:rFonts w:ascii="Times New Roman" w:hAnsi="Times New Roman"/>
          <w:sz w:val="28"/>
          <w:szCs w:val="28"/>
        </w:rPr>
        <w:t>) [</w:t>
      </w:r>
      <w:r w:rsidRPr="000D208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</w:t>
      </w:r>
      <w:r w:rsidRPr="000D208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], </w:t>
      </w:r>
      <w:r w:rsidRPr="00DC7EE2">
        <w:rPr>
          <w:rFonts w:ascii="Times New Roman" w:hAnsi="Times New Roman"/>
          <w:sz w:val="28"/>
          <w:szCs w:val="28"/>
        </w:rPr>
        <w:t xml:space="preserve">продемонстрировали </w:t>
      </w:r>
      <w:r>
        <w:rPr>
          <w:rFonts w:ascii="Times New Roman" w:hAnsi="Times New Roman"/>
          <w:sz w:val="28"/>
          <w:szCs w:val="28"/>
        </w:rPr>
        <w:t xml:space="preserve">высокую </w:t>
      </w:r>
      <w:r w:rsidRPr="00DC7EE2">
        <w:rPr>
          <w:rFonts w:ascii="Times New Roman" w:hAnsi="Times New Roman"/>
          <w:sz w:val="28"/>
          <w:szCs w:val="28"/>
        </w:rPr>
        <w:t>производительность в задачах классификации и регресси</w:t>
      </w:r>
      <w:r>
        <w:rPr>
          <w:rFonts w:ascii="Times New Roman" w:hAnsi="Times New Roman"/>
          <w:sz w:val="28"/>
          <w:szCs w:val="28"/>
        </w:rPr>
        <w:t>и в области машинного обучения</w:t>
      </w:r>
      <w:r w:rsidRPr="00DC7EE2">
        <w:rPr>
          <w:rFonts w:ascii="Times New Roman" w:hAnsi="Times New Roman"/>
          <w:sz w:val="28"/>
          <w:szCs w:val="28"/>
        </w:rPr>
        <w:t>, что естественным образом привлекло внимание со стороны исследователей, специализирующихся в решении прогнозных задач в электроэнергетике.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популярными среди машинных подходов в прогнозных задачах до последнего времени оставались модели на базе ИНС. Исследования показывали, что п</w:t>
      </w:r>
      <w:r w:rsidRPr="00DC7EE2">
        <w:rPr>
          <w:rFonts w:ascii="Times New Roman" w:hAnsi="Times New Roman"/>
          <w:sz w:val="28"/>
          <w:szCs w:val="28"/>
        </w:rPr>
        <w:t xml:space="preserve">о сравнению с традиционными статистическими алгоритмами </w:t>
      </w:r>
      <w:proofErr w:type="spellStart"/>
      <w:r w:rsidRPr="00DC7EE2">
        <w:rPr>
          <w:rFonts w:ascii="Times New Roman" w:hAnsi="Times New Roman"/>
          <w:sz w:val="28"/>
          <w:szCs w:val="28"/>
        </w:rPr>
        <w:t>нейросетевой</w:t>
      </w:r>
      <w:proofErr w:type="spellEnd"/>
      <w:r w:rsidRPr="00DC7EE2">
        <w:rPr>
          <w:rFonts w:ascii="Times New Roman" w:hAnsi="Times New Roman"/>
          <w:sz w:val="28"/>
          <w:szCs w:val="28"/>
        </w:rPr>
        <w:t xml:space="preserve"> подход имеет ряд уникальных </w:t>
      </w:r>
      <w:r>
        <w:rPr>
          <w:rFonts w:ascii="Times New Roman" w:hAnsi="Times New Roman"/>
          <w:sz w:val="28"/>
          <w:szCs w:val="28"/>
        </w:rPr>
        <w:t>особенностей</w:t>
      </w:r>
      <w:r w:rsidRPr="00DC7EE2">
        <w:rPr>
          <w:rFonts w:ascii="Times New Roman" w:hAnsi="Times New Roman"/>
          <w:sz w:val="28"/>
          <w:szCs w:val="28"/>
        </w:rPr>
        <w:t>, в том числе: 1) нелинейная аппроксимация сложных зависимостей 2) умение успешно справляться с "проклятием размерности" и 3) гибкость и универсальность, что даёт возможность применять их к более сложным моделям [</w:t>
      </w:r>
      <w:r w:rsidRPr="000D2083">
        <w:rPr>
          <w:rFonts w:ascii="Times New Roman" w:hAnsi="Times New Roman"/>
          <w:sz w:val="28"/>
          <w:szCs w:val="28"/>
        </w:rPr>
        <w:t>14</w:t>
      </w:r>
      <w:r w:rsidRPr="00DC7EE2">
        <w:rPr>
          <w:rFonts w:ascii="Times New Roman" w:hAnsi="Times New Roman"/>
          <w:sz w:val="28"/>
          <w:szCs w:val="28"/>
        </w:rPr>
        <w:t xml:space="preserve">].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6F1B">
        <w:rPr>
          <w:rFonts w:ascii="Times New Roman" w:hAnsi="Times New Roman"/>
          <w:sz w:val="28"/>
          <w:szCs w:val="28"/>
        </w:rPr>
        <w:t xml:space="preserve">Типичный вид </w:t>
      </w:r>
      <w:proofErr w:type="spellStart"/>
      <w:r w:rsidRPr="00C76F1B">
        <w:rPr>
          <w:rFonts w:ascii="Times New Roman" w:hAnsi="Times New Roman"/>
          <w:sz w:val="28"/>
          <w:szCs w:val="28"/>
        </w:rPr>
        <w:t>нейросетевой</w:t>
      </w:r>
      <w:proofErr w:type="spellEnd"/>
      <w:r w:rsidRPr="00C76F1B">
        <w:rPr>
          <w:rFonts w:ascii="Times New Roman" w:hAnsi="Times New Roman"/>
          <w:sz w:val="28"/>
          <w:szCs w:val="28"/>
        </w:rPr>
        <w:t xml:space="preserve"> архитектуры представлен на рис. </w:t>
      </w:r>
      <w:r>
        <w:rPr>
          <w:rFonts w:ascii="Times New Roman" w:hAnsi="Times New Roman"/>
          <w:sz w:val="28"/>
          <w:szCs w:val="28"/>
        </w:rPr>
        <w:t xml:space="preserve">7.1. </w:t>
      </w:r>
      <w:r w:rsidRPr="00C76F1B">
        <w:rPr>
          <w:rFonts w:ascii="Times New Roman" w:hAnsi="Times New Roman"/>
          <w:sz w:val="28"/>
          <w:szCs w:val="28"/>
        </w:rPr>
        <w:t>Различные способы объединения нейронов между собой и организации их взаимодействия привели к созданию ИНС разных типов. Среди множества существующих структур ИНС отметим многослойный персептрон</w:t>
      </w:r>
      <w:r>
        <w:rPr>
          <w:rFonts w:ascii="Times New Roman" w:hAnsi="Times New Roman"/>
          <w:sz w:val="28"/>
          <w:szCs w:val="28"/>
        </w:rPr>
        <w:t xml:space="preserve"> (МП)</w:t>
      </w:r>
      <w:r w:rsidRPr="00C76F1B">
        <w:rPr>
          <w:rFonts w:ascii="Times New Roman" w:hAnsi="Times New Roman"/>
          <w:sz w:val="28"/>
          <w:szCs w:val="28"/>
        </w:rPr>
        <w:t>, ИНС на основ</w:t>
      </w:r>
      <w:r>
        <w:rPr>
          <w:rFonts w:ascii="Times New Roman" w:hAnsi="Times New Roman"/>
          <w:sz w:val="28"/>
          <w:szCs w:val="28"/>
        </w:rPr>
        <w:t xml:space="preserve">е радиально-базисных функций (РБФ), сеть </w:t>
      </w:r>
      <w:proofErr w:type="spellStart"/>
      <w:r>
        <w:rPr>
          <w:rFonts w:ascii="Times New Roman" w:hAnsi="Times New Roman"/>
          <w:sz w:val="28"/>
          <w:szCs w:val="28"/>
        </w:rPr>
        <w:t>Элмана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C76F1B">
        <w:rPr>
          <w:rFonts w:ascii="Times New Roman" w:hAnsi="Times New Roman"/>
          <w:sz w:val="28"/>
          <w:szCs w:val="28"/>
        </w:rPr>
        <w:t>обобщённо-регрессионную сеть</w:t>
      </w:r>
      <w:r>
        <w:rPr>
          <w:rFonts w:ascii="Times New Roman" w:hAnsi="Times New Roman"/>
          <w:sz w:val="28"/>
          <w:szCs w:val="28"/>
        </w:rPr>
        <w:t xml:space="preserve"> (ОРС)</w:t>
      </w:r>
      <w:r w:rsidRPr="00C76F1B">
        <w:rPr>
          <w:rFonts w:ascii="Times New Roman" w:hAnsi="Times New Roman"/>
          <w:sz w:val="28"/>
          <w:szCs w:val="28"/>
        </w:rPr>
        <w:t>, как получившее наибольшее применение для краткосрочного прогнозирования параметров ЭЭС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F1B">
        <w:rPr>
          <w:rFonts w:ascii="Times New Roman" w:hAnsi="Times New Roman"/>
          <w:sz w:val="28"/>
          <w:szCs w:val="28"/>
        </w:rPr>
        <w:t>[</w:t>
      </w:r>
      <w:r w:rsidRPr="000D2083">
        <w:rPr>
          <w:rFonts w:ascii="Times New Roman" w:hAnsi="Times New Roman"/>
          <w:sz w:val="28"/>
          <w:szCs w:val="28"/>
        </w:rPr>
        <w:t>15</w:t>
      </w:r>
      <w:r w:rsidRPr="00C76F1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9C" w:rsidRDefault="0006779C" w:rsidP="0006779C">
      <w:pPr>
        <w:spacing w:after="0"/>
        <w:jc w:val="center"/>
      </w:pPr>
      <w:r>
        <w:object w:dxaOrig="7576" w:dyaOrig="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77.5pt" o:ole="">
            <v:imagedata r:id="rId8" o:title=""/>
          </v:shape>
          <o:OLEObject Type="Embed" ProgID="Visio.Drawing.15" ShapeID="_x0000_i1025" DrawAspect="Content" ObjectID="_1544438720" r:id="rId9"/>
        </w:object>
      </w:r>
    </w:p>
    <w:p w:rsidR="0006779C" w:rsidRPr="00C63D63" w:rsidRDefault="0006779C" w:rsidP="0006779C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BD795E">
        <w:rPr>
          <w:rFonts w:ascii="Times New Roman" w:hAnsi="Times New Roman"/>
          <w:sz w:val="24"/>
          <w:szCs w:val="28"/>
        </w:rPr>
        <w:t xml:space="preserve">Рис. 7.1. </w:t>
      </w:r>
      <w:r>
        <w:rPr>
          <w:rFonts w:ascii="Times New Roman" w:hAnsi="Times New Roman"/>
          <w:sz w:val="24"/>
          <w:szCs w:val="28"/>
        </w:rPr>
        <w:t>Обобщённая нейросетевая структура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D2CD6">
        <w:rPr>
          <w:rFonts w:ascii="Times New Roman" w:hAnsi="Times New Roman"/>
          <w:sz w:val="28"/>
          <w:szCs w:val="28"/>
        </w:rPr>
        <w:t xml:space="preserve">Сеть </w:t>
      </w:r>
      <w:r>
        <w:rPr>
          <w:rFonts w:ascii="Times New Roman" w:hAnsi="Times New Roman"/>
          <w:sz w:val="28"/>
          <w:szCs w:val="28"/>
        </w:rPr>
        <w:t>МП</w:t>
      </w:r>
      <w:r w:rsidRPr="001D2CD6">
        <w:rPr>
          <w:rFonts w:ascii="Times New Roman" w:hAnsi="Times New Roman"/>
          <w:sz w:val="28"/>
          <w:szCs w:val="28"/>
        </w:rPr>
        <w:t xml:space="preserve"> состоит из нейронов, расположенных на разных уровнях, причём помимо входного и выходного слоёв имеется ещё, как минимум, один внутренний, т.е. скрытый, слой. Цель обучения </w:t>
      </w:r>
      <w:r>
        <w:rPr>
          <w:rFonts w:ascii="Times New Roman" w:hAnsi="Times New Roman"/>
          <w:sz w:val="28"/>
          <w:szCs w:val="28"/>
        </w:rPr>
        <w:t>МП</w:t>
      </w:r>
      <w:r w:rsidRPr="001D2CD6">
        <w:rPr>
          <w:rFonts w:ascii="Times New Roman" w:hAnsi="Times New Roman"/>
          <w:sz w:val="28"/>
          <w:szCs w:val="28"/>
        </w:rPr>
        <w:t xml:space="preserve"> состоит в подборе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CD6">
        <w:rPr>
          <w:rFonts w:ascii="Times New Roman" w:hAnsi="Times New Roman"/>
          <w:sz w:val="28"/>
          <w:szCs w:val="28"/>
        </w:rPr>
        <w:t xml:space="preserve">значений весов </w:t>
      </w:r>
      <w:r>
        <w:rPr>
          <w:rFonts w:ascii="Times New Roman" w:hAnsi="Times New Roman"/>
          <w:sz w:val="28"/>
          <w:szCs w:val="28"/>
        </w:rPr>
        <w:t>для</w:t>
      </w:r>
      <w:r w:rsidRPr="001D2CD6">
        <w:rPr>
          <w:rFonts w:ascii="Times New Roman" w:hAnsi="Times New Roman"/>
          <w:sz w:val="28"/>
          <w:szCs w:val="28"/>
        </w:rPr>
        <w:t xml:space="preserve"> всех слоев сети, чтобы при заданном входном векторе получить на выходе значения сигналов, которые с требуемой точностью будут со</w:t>
      </w:r>
      <w:r>
        <w:rPr>
          <w:rFonts w:ascii="Times New Roman" w:hAnsi="Times New Roman"/>
          <w:sz w:val="28"/>
          <w:szCs w:val="28"/>
        </w:rPr>
        <w:t>впадать с ожидаемыми значениями</w:t>
      </w:r>
      <w:r w:rsidRPr="001D2CD6">
        <w:rPr>
          <w:rFonts w:ascii="Times New Roman" w:hAnsi="Times New Roman"/>
          <w:sz w:val="28"/>
          <w:szCs w:val="28"/>
        </w:rPr>
        <w:t xml:space="preserve">. В настоящее время одной из наиболее эффективных процедур обучения </w:t>
      </w:r>
      <w:r>
        <w:rPr>
          <w:rFonts w:ascii="Times New Roman" w:hAnsi="Times New Roman"/>
          <w:sz w:val="28"/>
          <w:szCs w:val="28"/>
        </w:rPr>
        <w:t>МП</w:t>
      </w:r>
      <w:r w:rsidRPr="001D2CD6">
        <w:rPr>
          <w:rFonts w:ascii="Times New Roman" w:hAnsi="Times New Roman"/>
          <w:sz w:val="28"/>
          <w:szCs w:val="28"/>
        </w:rPr>
        <w:t xml:space="preserve"> является алгоритм обратного распространения ошибки [</w:t>
      </w:r>
      <w:r w:rsidRPr="009F0208">
        <w:rPr>
          <w:rFonts w:ascii="Times New Roman" w:hAnsi="Times New Roman"/>
          <w:sz w:val="28"/>
          <w:szCs w:val="28"/>
        </w:rPr>
        <w:t>16</w:t>
      </w:r>
      <w:r w:rsidRPr="001D2CD6">
        <w:rPr>
          <w:rFonts w:ascii="Times New Roman" w:hAnsi="Times New Roman"/>
          <w:sz w:val="28"/>
          <w:szCs w:val="28"/>
        </w:rPr>
        <w:t xml:space="preserve">]. </w:t>
      </w:r>
      <w:r w:rsidRPr="00420043"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z w:val="28"/>
          <w:szCs w:val="28"/>
        </w:rPr>
        <w:t xml:space="preserve"> РБФ</w:t>
      </w:r>
      <w:r w:rsidRPr="00420043">
        <w:rPr>
          <w:rFonts w:ascii="Times New Roman" w:hAnsi="Times New Roman"/>
          <w:sz w:val="28"/>
          <w:szCs w:val="28"/>
        </w:rPr>
        <w:t xml:space="preserve"> являются частным случаем двухслойно</w:t>
      </w:r>
      <w:r>
        <w:rPr>
          <w:rFonts w:ascii="Times New Roman" w:hAnsi="Times New Roman"/>
          <w:sz w:val="28"/>
          <w:szCs w:val="28"/>
        </w:rPr>
        <w:t>й сети прямого распространения</w:t>
      </w:r>
      <w:r w:rsidRPr="00420043">
        <w:rPr>
          <w:rFonts w:ascii="Times New Roman" w:hAnsi="Times New Roman"/>
          <w:sz w:val="28"/>
          <w:szCs w:val="28"/>
        </w:rPr>
        <w:t>. Каждый элемент скрытого слоя использует в качестве активационной функции радиальную базисную функцию типа гауссовой.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CD6">
        <w:rPr>
          <w:rFonts w:ascii="Times New Roman" w:hAnsi="Times New Roman"/>
          <w:sz w:val="28"/>
          <w:szCs w:val="28"/>
        </w:rPr>
        <w:t xml:space="preserve">Радиальные нейронные сети относятся к той же категории сетей, обучаемых с учителем, что и </w:t>
      </w:r>
      <w:r>
        <w:rPr>
          <w:rFonts w:ascii="Times New Roman" w:hAnsi="Times New Roman"/>
          <w:sz w:val="28"/>
          <w:szCs w:val="28"/>
        </w:rPr>
        <w:t>МП</w:t>
      </w:r>
      <w:r w:rsidRPr="001D2CD6">
        <w:rPr>
          <w:rFonts w:ascii="Times New Roman" w:hAnsi="Times New Roman"/>
          <w:sz w:val="28"/>
          <w:szCs w:val="28"/>
        </w:rPr>
        <w:t xml:space="preserve">. По сравнению с </w:t>
      </w:r>
      <w:r>
        <w:rPr>
          <w:rFonts w:ascii="Times New Roman" w:hAnsi="Times New Roman"/>
          <w:sz w:val="28"/>
          <w:szCs w:val="28"/>
        </w:rPr>
        <w:t>МП</w:t>
      </w:r>
      <w:r w:rsidRPr="001D2CD6">
        <w:rPr>
          <w:rFonts w:ascii="Times New Roman" w:hAnsi="Times New Roman"/>
          <w:sz w:val="28"/>
          <w:szCs w:val="28"/>
        </w:rPr>
        <w:t>, имеющими сигмоидальные функции активации, они отличаются некоторыми специфическими свойствами, обеспечивающими более простое отображение характеристик моделируемого процесса.</w:t>
      </w:r>
      <w:r>
        <w:rPr>
          <w:rFonts w:ascii="Times New Roman" w:hAnsi="Times New Roman"/>
          <w:sz w:val="28"/>
          <w:szCs w:val="28"/>
        </w:rPr>
        <w:t xml:space="preserve"> Сеть ОРС, в свою очередь,</w:t>
      </w:r>
      <w:r w:rsidRPr="00C95FA8">
        <w:rPr>
          <w:rFonts w:ascii="Times New Roman" w:hAnsi="Times New Roman"/>
          <w:sz w:val="28"/>
          <w:szCs w:val="28"/>
        </w:rPr>
        <w:t xml:space="preserve"> представляет собой структуру, содержащую наряду со скрытым радиальным слоем и вероятностные скрытый и выходной слои.</w:t>
      </w:r>
      <w:r>
        <w:rPr>
          <w:rFonts w:ascii="Times New Roman" w:hAnsi="Times New Roman"/>
          <w:sz w:val="28"/>
          <w:szCs w:val="28"/>
        </w:rPr>
        <w:t xml:space="preserve"> Выходное значение ОРС имеет вероятностный смысл, поэтому его легче интерпретировать. При небольшом объёме данных сеть очень быстро обучается</w:t>
      </w:r>
      <w:r w:rsidRPr="00F06415">
        <w:rPr>
          <w:rFonts w:ascii="Times New Roman" w:hAnsi="Times New Roman"/>
          <w:sz w:val="28"/>
          <w:szCs w:val="28"/>
        </w:rPr>
        <w:t xml:space="preserve"> [17].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42F">
        <w:rPr>
          <w:rFonts w:ascii="Times New Roman" w:hAnsi="Times New Roman"/>
          <w:sz w:val="28"/>
          <w:szCs w:val="28"/>
        </w:rPr>
        <w:t>Наряду с ИНС высокую эффективность демонстрируют прогнозные модели на основе метода опорных векторов</w:t>
      </w:r>
      <w:r w:rsidRPr="00C7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МОВ)</w:t>
      </w:r>
      <w:r w:rsidRPr="001A042F">
        <w:rPr>
          <w:rFonts w:ascii="Times New Roman" w:hAnsi="Times New Roman"/>
          <w:sz w:val="28"/>
          <w:szCs w:val="28"/>
        </w:rPr>
        <w:t xml:space="preserve"> [</w:t>
      </w:r>
      <w:r w:rsidRPr="00F06415">
        <w:rPr>
          <w:rFonts w:ascii="Times New Roman" w:hAnsi="Times New Roman"/>
          <w:sz w:val="28"/>
          <w:szCs w:val="28"/>
        </w:rPr>
        <w:t>17</w:t>
      </w:r>
      <w:r w:rsidRPr="001A042F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Этот метод </w:t>
      </w:r>
      <w:r w:rsidRPr="001A042F">
        <w:rPr>
          <w:rFonts w:ascii="Times New Roman" w:hAnsi="Times New Roman"/>
          <w:sz w:val="28"/>
          <w:szCs w:val="28"/>
        </w:rPr>
        <w:t>является нелинейным вариантом метода обобщенных портретов, предложе</w:t>
      </w:r>
      <w:r>
        <w:rPr>
          <w:rFonts w:ascii="Times New Roman" w:hAnsi="Times New Roman"/>
          <w:sz w:val="28"/>
          <w:szCs w:val="28"/>
        </w:rPr>
        <w:t>нного В.Н. Вапником в 1963 г. [20</w:t>
      </w:r>
      <w:r w:rsidRPr="001A042F">
        <w:rPr>
          <w:rFonts w:ascii="Times New Roman" w:hAnsi="Times New Roman"/>
          <w:sz w:val="28"/>
          <w:szCs w:val="28"/>
        </w:rPr>
        <w:t>], и широко используется для решения задач классификации и регрессионного анализа. Методологически МОВ, подобно ИНС, опирается на известную теорему Ковера [</w:t>
      </w:r>
      <w:r w:rsidRPr="00F06415">
        <w:rPr>
          <w:rFonts w:ascii="Times New Roman" w:hAnsi="Times New Roman"/>
          <w:sz w:val="28"/>
          <w:szCs w:val="28"/>
        </w:rPr>
        <w:t>21</w:t>
      </w:r>
      <w:r w:rsidRPr="001A042F">
        <w:rPr>
          <w:rFonts w:ascii="Times New Roman" w:hAnsi="Times New Roman"/>
          <w:sz w:val="28"/>
          <w:szCs w:val="28"/>
        </w:rPr>
        <w:t>] о повышении вероятности линейной разделимости образов при преобразовании нелинейной задачи классификации образов в пространство более высокой размерности.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Pr="00DC7EE2">
        <w:rPr>
          <w:rFonts w:ascii="Times New Roman" w:hAnsi="Times New Roman"/>
          <w:sz w:val="28"/>
          <w:szCs w:val="28"/>
        </w:rPr>
        <w:t>[</w:t>
      </w:r>
      <w:r w:rsidRPr="00F06415">
        <w:rPr>
          <w:rFonts w:ascii="Times New Roman" w:hAnsi="Times New Roman"/>
          <w:sz w:val="28"/>
          <w:szCs w:val="28"/>
        </w:rPr>
        <w:t>22</w:t>
      </w:r>
      <w:r w:rsidRPr="00DC7EE2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авторы проводят сравнительный анализ эффективности различных моделей при прогнозировании </w:t>
      </w:r>
      <w:r w:rsidRPr="00D22F2A">
        <w:rPr>
          <w:rFonts w:ascii="Times New Roman" w:hAnsi="Times New Roman"/>
          <w:sz w:val="28"/>
          <w:szCs w:val="28"/>
        </w:rPr>
        <w:t>потр</w:t>
      </w:r>
      <w:r>
        <w:rPr>
          <w:rFonts w:ascii="Times New Roman" w:hAnsi="Times New Roman"/>
          <w:sz w:val="28"/>
          <w:szCs w:val="28"/>
        </w:rPr>
        <w:t>еб</w:t>
      </w:r>
      <w:r w:rsidRPr="00D22F2A">
        <w:rPr>
          <w:rFonts w:ascii="Times New Roman" w:hAnsi="Times New Roman"/>
          <w:sz w:val="28"/>
          <w:szCs w:val="28"/>
        </w:rPr>
        <w:t xml:space="preserve">ления электроэнергии </w:t>
      </w:r>
      <w:r>
        <w:rPr>
          <w:rFonts w:ascii="Times New Roman" w:hAnsi="Times New Roman"/>
          <w:sz w:val="28"/>
          <w:szCs w:val="28"/>
        </w:rPr>
        <w:t>в одном из энергорайонов Гонконга.</w:t>
      </w:r>
      <w:r w:rsidRPr="00D22F2A">
        <w:rPr>
          <w:rFonts w:ascii="Times New Roman" w:hAnsi="Times New Roman"/>
          <w:sz w:val="28"/>
          <w:szCs w:val="28"/>
        </w:rPr>
        <w:t xml:space="preserve"> В работе были собраны </w:t>
      </w:r>
      <w:r>
        <w:rPr>
          <w:rFonts w:ascii="Times New Roman" w:hAnsi="Times New Roman"/>
          <w:sz w:val="28"/>
          <w:szCs w:val="28"/>
        </w:rPr>
        <w:t xml:space="preserve">многочисленные </w:t>
      </w:r>
      <w:r w:rsidRPr="00D22F2A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по разным характеристикам и особенностям отдельных потребителей электрической энергии. </w:t>
      </w:r>
      <w:r w:rsidRPr="00D22F2A">
        <w:rPr>
          <w:rFonts w:ascii="Times New Roman" w:hAnsi="Times New Roman"/>
          <w:sz w:val="28"/>
          <w:szCs w:val="28"/>
        </w:rPr>
        <w:t>Измерения</w:t>
      </w:r>
      <w:r>
        <w:rPr>
          <w:rFonts w:ascii="Times New Roman" w:hAnsi="Times New Roman"/>
          <w:sz w:val="28"/>
          <w:szCs w:val="28"/>
        </w:rPr>
        <w:t>, при этом, выполнялись</w:t>
      </w:r>
      <w:r w:rsidRPr="00D22F2A">
        <w:rPr>
          <w:rFonts w:ascii="Times New Roman" w:hAnsi="Times New Roman"/>
          <w:sz w:val="28"/>
          <w:szCs w:val="28"/>
        </w:rPr>
        <w:t xml:space="preserve"> ежедневно</w:t>
      </w:r>
      <w:r>
        <w:rPr>
          <w:rFonts w:ascii="Times New Roman" w:hAnsi="Times New Roman"/>
          <w:sz w:val="28"/>
          <w:szCs w:val="28"/>
        </w:rPr>
        <w:t xml:space="preserve"> и были </w:t>
      </w:r>
      <w:r w:rsidRPr="00D22F2A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 xml:space="preserve">ны как зимой, так и летом. </w:t>
      </w:r>
      <w:r w:rsidRPr="00D22F2A">
        <w:rPr>
          <w:rFonts w:ascii="Times New Roman" w:hAnsi="Times New Roman"/>
          <w:sz w:val="28"/>
          <w:szCs w:val="28"/>
        </w:rPr>
        <w:t>После обработки проведен анали</w:t>
      </w:r>
      <w:r>
        <w:rPr>
          <w:rFonts w:ascii="Times New Roman" w:hAnsi="Times New Roman"/>
          <w:sz w:val="28"/>
          <w:szCs w:val="28"/>
        </w:rPr>
        <w:t>з данных и построены три модели</w:t>
      </w:r>
      <w:r w:rsidRPr="00D22F2A">
        <w:rPr>
          <w:rFonts w:ascii="Times New Roman" w:hAnsi="Times New Roman"/>
          <w:sz w:val="28"/>
          <w:szCs w:val="28"/>
        </w:rPr>
        <w:t xml:space="preserve"> прогнозирования энергопотребления: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D22F2A">
        <w:rPr>
          <w:rFonts w:ascii="Times New Roman" w:hAnsi="Times New Roman"/>
          <w:sz w:val="28"/>
          <w:szCs w:val="28"/>
        </w:rPr>
        <w:t>инейная регр</w:t>
      </w:r>
      <w:r>
        <w:rPr>
          <w:rFonts w:ascii="Times New Roman" w:hAnsi="Times New Roman"/>
          <w:sz w:val="28"/>
          <w:szCs w:val="28"/>
        </w:rPr>
        <w:t xml:space="preserve">ессия, искусственные нейронные сети, деревья решений. </w:t>
      </w:r>
      <w:r w:rsidRPr="00D22F2A">
        <w:rPr>
          <w:rFonts w:ascii="Times New Roman" w:hAnsi="Times New Roman"/>
          <w:sz w:val="28"/>
          <w:szCs w:val="28"/>
        </w:rPr>
        <w:t>Как видно из таблицы</w:t>
      </w:r>
      <w:r>
        <w:rPr>
          <w:rFonts w:ascii="Times New Roman" w:hAnsi="Times New Roman"/>
          <w:sz w:val="28"/>
          <w:szCs w:val="28"/>
        </w:rPr>
        <w:t xml:space="preserve"> 7.2</w:t>
      </w:r>
      <w:r w:rsidRPr="00D22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лучший результат дают ИНС</w:t>
      </w:r>
      <w:r w:rsidRPr="00D22F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</w:t>
      </w:r>
      <w:r w:rsidRPr="00D22F2A">
        <w:rPr>
          <w:rFonts w:ascii="Times New Roman" w:hAnsi="Times New Roman"/>
          <w:sz w:val="28"/>
          <w:szCs w:val="28"/>
        </w:rPr>
        <w:t>еревья решений с откл</w:t>
      </w:r>
      <w:r>
        <w:rPr>
          <w:rFonts w:ascii="Times New Roman" w:hAnsi="Times New Roman"/>
          <w:sz w:val="28"/>
          <w:szCs w:val="28"/>
        </w:rPr>
        <w:t xml:space="preserve">онением от истинного значения в </w:t>
      </w:r>
      <w:r w:rsidRPr="00D22F2A">
        <w:rPr>
          <w:rFonts w:ascii="Times New Roman" w:hAnsi="Times New Roman"/>
          <w:sz w:val="28"/>
          <w:szCs w:val="28"/>
        </w:rPr>
        <w:t>5-6%.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9C" w:rsidRPr="007E30A4" w:rsidRDefault="0006779C" w:rsidP="0006779C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7E30A4">
        <w:rPr>
          <w:rFonts w:ascii="Times New Roman" w:hAnsi="Times New Roman"/>
          <w:sz w:val="24"/>
          <w:szCs w:val="28"/>
        </w:rPr>
        <w:t>Таблица 7.2. Результаты прогноза потребления электроэнергии в одном из энергорайонов Гонконга на базе различных моделей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84"/>
      </w:tblGrid>
      <w:tr w:rsidR="0006779C" w:rsidRPr="00893380" w:rsidTr="007920B1">
        <w:trPr>
          <w:trHeight w:val="311"/>
          <w:jc w:val="center"/>
        </w:trPr>
        <w:tc>
          <w:tcPr>
            <w:tcW w:w="417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380">
              <w:rPr>
                <w:rFonts w:ascii="Times New Roman" w:hAnsi="Times New Roman"/>
                <w:b/>
                <w:sz w:val="28"/>
                <w:szCs w:val="28"/>
              </w:rPr>
              <w:t>Модель прогнозирования</w:t>
            </w:r>
          </w:p>
        </w:tc>
        <w:tc>
          <w:tcPr>
            <w:tcW w:w="478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380">
              <w:rPr>
                <w:rFonts w:ascii="Times New Roman" w:hAnsi="Times New Roman"/>
                <w:b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относительная </w:t>
            </w:r>
            <w:r w:rsidRPr="00893380">
              <w:rPr>
                <w:rFonts w:ascii="Times New Roman" w:hAnsi="Times New Roman"/>
                <w:b/>
                <w:sz w:val="28"/>
                <w:szCs w:val="28"/>
              </w:rPr>
              <w:t>ошибка, %</w:t>
            </w:r>
          </w:p>
        </w:tc>
      </w:tr>
      <w:tr w:rsidR="0006779C" w:rsidRPr="00893380" w:rsidTr="007920B1">
        <w:trPr>
          <w:trHeight w:val="324"/>
          <w:jc w:val="center"/>
        </w:trPr>
        <w:tc>
          <w:tcPr>
            <w:tcW w:w="417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Линейная регрессия</w:t>
            </w:r>
          </w:p>
        </w:tc>
        <w:tc>
          <w:tcPr>
            <w:tcW w:w="478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7.6-8.2</w:t>
            </w:r>
          </w:p>
        </w:tc>
      </w:tr>
      <w:tr w:rsidR="0006779C" w:rsidRPr="00893380" w:rsidTr="007920B1">
        <w:trPr>
          <w:trHeight w:val="311"/>
          <w:jc w:val="center"/>
        </w:trPr>
        <w:tc>
          <w:tcPr>
            <w:tcW w:w="417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Искусственная нейронная сеть</w:t>
            </w:r>
          </w:p>
        </w:tc>
        <w:tc>
          <w:tcPr>
            <w:tcW w:w="478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5.5-6.7</w:t>
            </w:r>
          </w:p>
        </w:tc>
      </w:tr>
      <w:tr w:rsidR="0006779C" w:rsidRPr="00893380" w:rsidTr="007920B1">
        <w:trPr>
          <w:trHeight w:val="324"/>
          <w:jc w:val="center"/>
        </w:trPr>
        <w:tc>
          <w:tcPr>
            <w:tcW w:w="417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Деревья решений</w:t>
            </w:r>
          </w:p>
        </w:tc>
        <w:tc>
          <w:tcPr>
            <w:tcW w:w="4784" w:type="dxa"/>
            <w:shd w:val="clear" w:color="auto" w:fill="auto"/>
          </w:tcPr>
          <w:p w:rsidR="0006779C" w:rsidRPr="00893380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380">
              <w:rPr>
                <w:rFonts w:ascii="Times New Roman" w:hAnsi="Times New Roman"/>
                <w:sz w:val="28"/>
                <w:szCs w:val="28"/>
              </w:rPr>
              <w:t>4.8-5.6</w:t>
            </w:r>
          </w:p>
        </w:tc>
      </w:tr>
    </w:tbl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показывают исследования, модели на основе </w:t>
      </w:r>
      <w:r w:rsidRPr="008C6A3E">
        <w:rPr>
          <w:rFonts w:ascii="Times New Roman" w:hAnsi="Times New Roman"/>
          <w:sz w:val="28"/>
        </w:rPr>
        <w:t>ДР</w:t>
      </w:r>
      <w:r>
        <w:rPr>
          <w:rFonts w:ascii="Times New Roman" w:hAnsi="Times New Roman"/>
          <w:sz w:val="28"/>
        </w:rPr>
        <w:t xml:space="preserve"> представляют собой перспективную технологию для прогнозирования сложных нестационарных реализаций, которые не всегда могут быть обработаны на базе нейросетевых моделей. По сути ДР представляют собой так называемые </w:t>
      </w:r>
      <w:r w:rsidRPr="008C6A3E">
        <w:rPr>
          <w:rFonts w:ascii="Times New Roman" w:hAnsi="Times New Roman"/>
          <w:sz w:val="28"/>
        </w:rPr>
        <w:t>«жадны</w:t>
      </w:r>
      <w:r>
        <w:rPr>
          <w:rFonts w:ascii="Times New Roman" w:hAnsi="Times New Roman"/>
          <w:sz w:val="28"/>
        </w:rPr>
        <w:t>е</w:t>
      </w:r>
      <w:r w:rsidRPr="008C6A3E">
        <w:rPr>
          <w:rFonts w:ascii="Times New Roman" w:hAnsi="Times New Roman"/>
          <w:sz w:val="28"/>
        </w:rPr>
        <w:t>» алгоритм</w:t>
      </w:r>
      <w:r>
        <w:rPr>
          <w:rFonts w:ascii="Times New Roman" w:hAnsi="Times New Roman"/>
          <w:sz w:val="28"/>
        </w:rPr>
        <w:t>ы</w:t>
      </w:r>
      <w:r>
        <w:rPr>
          <w:rStyle w:val="a6"/>
          <w:rFonts w:ascii="Times New Roman" w:hAnsi="Times New Roman"/>
          <w:sz w:val="28"/>
        </w:rPr>
        <w:footnoteReference w:id="1"/>
      </w:r>
      <w:r w:rsidRPr="008C6A3E">
        <w:rPr>
          <w:rFonts w:ascii="Times New Roman" w:hAnsi="Times New Roman"/>
          <w:sz w:val="28"/>
        </w:rPr>
        <w:t xml:space="preserve"> построения модели принятия решений, использующееся в статистике и анализе данных для прогнозных моделей. Структура ДР представляет собой «листья» и «ветки». На ребрах («ветках») дерева решения записаны атрибуты, от которых зависит целевая функция, в «листьях» записаны значения целевой функции, а в остальных узлах — атрибуты, по которым различаются случаи. Модел</w:t>
      </w:r>
      <w:r>
        <w:rPr>
          <w:rFonts w:ascii="Times New Roman" w:hAnsi="Times New Roman"/>
          <w:sz w:val="28"/>
        </w:rPr>
        <w:t>ь</w:t>
      </w:r>
      <w:r w:rsidRPr="008C6A3E">
        <w:rPr>
          <w:rFonts w:ascii="Times New Roman" w:hAnsi="Times New Roman"/>
          <w:sz w:val="28"/>
        </w:rPr>
        <w:t xml:space="preserve"> ДР позволяет получать стабильные решения, сравнимые с МОВ и ИНС, не используя</w:t>
      </w:r>
      <w:r>
        <w:rPr>
          <w:rFonts w:ascii="Times New Roman" w:hAnsi="Times New Roman"/>
          <w:sz w:val="28"/>
        </w:rPr>
        <w:t xml:space="preserve"> при этом</w:t>
      </w:r>
      <w:r w:rsidRPr="008C6A3E">
        <w:rPr>
          <w:rFonts w:ascii="Times New Roman" w:hAnsi="Times New Roman"/>
          <w:sz w:val="28"/>
        </w:rPr>
        <w:t xml:space="preserve"> больших вычислительных мощностей, требуемых предыдущими</w:t>
      </w:r>
      <w:r>
        <w:rPr>
          <w:rFonts w:ascii="Times New Roman" w:hAnsi="Times New Roman"/>
          <w:sz w:val="28"/>
        </w:rPr>
        <w:t xml:space="preserve"> моделями</w:t>
      </w:r>
      <w:r w:rsidRPr="008C6A3E">
        <w:rPr>
          <w:rFonts w:ascii="Times New Roman" w:hAnsi="Times New Roman"/>
          <w:sz w:val="28"/>
        </w:rPr>
        <w:t xml:space="preserve">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этом, н</w:t>
      </w:r>
      <w:r w:rsidRPr="002D3A49">
        <w:rPr>
          <w:rFonts w:ascii="Times New Roman" w:hAnsi="Times New Roman"/>
          <w:sz w:val="28"/>
        </w:rPr>
        <w:t>аиболее популярной модификацией алгоритма ДР, применяемой для задач прогнозирования, стали модели «случайного леса» (от англ. Ran</w:t>
      </w:r>
      <w:r>
        <w:rPr>
          <w:rFonts w:ascii="Times New Roman" w:hAnsi="Times New Roman"/>
          <w:sz w:val="28"/>
          <w:lang w:val="en-US"/>
        </w:rPr>
        <w:t>d</w:t>
      </w:r>
      <w:r w:rsidRPr="002D3A49">
        <w:rPr>
          <w:rFonts w:ascii="Times New Roman" w:hAnsi="Times New Roman"/>
          <w:sz w:val="28"/>
        </w:rPr>
        <w:t>om Forest), которые позволяют строит</w:t>
      </w:r>
      <w:r>
        <w:rPr>
          <w:rFonts w:ascii="Times New Roman" w:hAnsi="Times New Roman"/>
          <w:sz w:val="28"/>
        </w:rPr>
        <w:t>ь</w:t>
      </w:r>
      <w:r w:rsidRPr="002D3A49">
        <w:rPr>
          <w:rFonts w:ascii="Times New Roman" w:hAnsi="Times New Roman"/>
          <w:sz w:val="28"/>
        </w:rPr>
        <w:t xml:space="preserve"> множество деревьев на различных подмн</w:t>
      </w:r>
      <w:r>
        <w:rPr>
          <w:rFonts w:ascii="Times New Roman" w:hAnsi="Times New Roman"/>
          <w:sz w:val="28"/>
        </w:rPr>
        <w:t>ожествах обучающей выборки и, вследствие закона больших чисел</w:t>
      </w:r>
      <w:r w:rsidRPr="002D3A49">
        <w:rPr>
          <w:rFonts w:ascii="Times New Roman" w:hAnsi="Times New Roman"/>
          <w:sz w:val="28"/>
        </w:rPr>
        <w:t>, получает лучшие результаты путем выбора среднего из всех прогнозов деревьев.</w:t>
      </w:r>
      <w:r>
        <w:rPr>
          <w:rFonts w:ascii="Times New Roman" w:hAnsi="Times New Roman"/>
          <w:sz w:val="28"/>
        </w:rPr>
        <w:t xml:space="preserve"> </w:t>
      </w:r>
      <w:r w:rsidRPr="00D70A17">
        <w:rPr>
          <w:rFonts w:ascii="Times New Roman" w:hAnsi="Times New Roman"/>
          <w:sz w:val="28"/>
        </w:rPr>
        <w:t>В [</w:t>
      </w:r>
      <w:r w:rsidRPr="00F06415">
        <w:rPr>
          <w:rFonts w:ascii="Times New Roman" w:hAnsi="Times New Roman"/>
          <w:sz w:val="28"/>
        </w:rPr>
        <w:t>23</w:t>
      </w:r>
      <w:r w:rsidRPr="00D70A17">
        <w:rPr>
          <w:rFonts w:ascii="Times New Roman" w:hAnsi="Times New Roman"/>
          <w:sz w:val="28"/>
        </w:rPr>
        <w:t>] пр</w:t>
      </w:r>
      <w:r>
        <w:rPr>
          <w:rFonts w:ascii="Times New Roman" w:hAnsi="Times New Roman"/>
          <w:sz w:val="28"/>
        </w:rPr>
        <w:t>и</w:t>
      </w:r>
      <w:r w:rsidRPr="00D70A17">
        <w:rPr>
          <w:rFonts w:ascii="Times New Roman" w:hAnsi="Times New Roman"/>
          <w:sz w:val="28"/>
        </w:rPr>
        <w:t xml:space="preserve">ведены </w:t>
      </w:r>
      <w:r>
        <w:rPr>
          <w:rFonts w:ascii="Times New Roman" w:hAnsi="Times New Roman"/>
          <w:sz w:val="28"/>
        </w:rPr>
        <w:t>результаты краткосрочного прогно</w:t>
      </w:r>
      <w:r w:rsidRPr="00D70A17">
        <w:rPr>
          <w:rFonts w:ascii="Times New Roman" w:hAnsi="Times New Roman"/>
          <w:sz w:val="28"/>
        </w:rPr>
        <w:t xml:space="preserve">зирования </w:t>
      </w:r>
      <w:r>
        <w:rPr>
          <w:rFonts w:ascii="Times New Roman" w:hAnsi="Times New Roman"/>
          <w:sz w:val="28"/>
        </w:rPr>
        <w:t>выработки</w:t>
      </w:r>
      <w:r w:rsidRPr="00D70A17">
        <w:rPr>
          <w:rFonts w:ascii="Times New Roman" w:hAnsi="Times New Roman"/>
          <w:sz w:val="28"/>
        </w:rPr>
        <w:t xml:space="preserve"> мощности и скорости ветра для ветроэнергетических установок на </w:t>
      </w:r>
      <w:r>
        <w:rPr>
          <w:rFonts w:ascii="Times New Roman" w:hAnsi="Times New Roman"/>
          <w:sz w:val="28"/>
        </w:rPr>
        <w:t>базе различных моделей машинного обучения (рис. 7.2)</w:t>
      </w:r>
      <w:r w:rsidRPr="00D70A17">
        <w:rPr>
          <w:rFonts w:ascii="Times New Roman" w:hAnsi="Times New Roman"/>
          <w:sz w:val="28"/>
        </w:rPr>
        <w:t xml:space="preserve">. Расчёты выполнены для </w:t>
      </w:r>
      <w:r>
        <w:rPr>
          <w:rFonts w:ascii="Times New Roman" w:hAnsi="Times New Roman"/>
          <w:sz w:val="28"/>
        </w:rPr>
        <w:t>электрических</w:t>
      </w:r>
      <w:r w:rsidRPr="00D70A17">
        <w:rPr>
          <w:rFonts w:ascii="Times New Roman" w:hAnsi="Times New Roman"/>
          <w:sz w:val="28"/>
        </w:rPr>
        <w:t xml:space="preserve"> сетей Апшеронского полуострова (</w:t>
      </w:r>
      <w:r>
        <w:rPr>
          <w:rFonts w:ascii="Times New Roman" w:hAnsi="Times New Roman"/>
          <w:sz w:val="28"/>
        </w:rPr>
        <w:t xml:space="preserve">республика </w:t>
      </w:r>
      <w:r w:rsidRPr="00D70A17">
        <w:rPr>
          <w:rFonts w:ascii="Times New Roman" w:hAnsi="Times New Roman"/>
          <w:sz w:val="28"/>
        </w:rPr>
        <w:t xml:space="preserve">Азербайджан), содержащих </w:t>
      </w:r>
      <w:r>
        <w:rPr>
          <w:rFonts w:ascii="Times New Roman" w:hAnsi="Times New Roman"/>
          <w:sz w:val="28"/>
        </w:rPr>
        <w:t>ветроэнергетические установки</w:t>
      </w:r>
      <w:r w:rsidRPr="00D70A17">
        <w:rPr>
          <w:rFonts w:ascii="Times New Roman" w:hAnsi="Times New Roman"/>
          <w:sz w:val="28"/>
        </w:rPr>
        <w:t xml:space="preserve">.  </w:t>
      </w:r>
      <w:r>
        <w:rPr>
          <w:rFonts w:ascii="Times New Roman" w:hAnsi="Times New Roman"/>
          <w:sz w:val="28"/>
        </w:rPr>
        <w:t xml:space="preserve">Как явствует из таблицы 7.3 модели на базе МОВ и алгоритма случайного леса являются более точными, по сравнению с нейросетевыми моделями. </w:t>
      </w:r>
    </w:p>
    <w:p w:rsidR="0006779C" w:rsidRDefault="0006779C" w:rsidP="0006779C">
      <w:pPr>
        <w:spacing w:after="0"/>
        <w:jc w:val="center"/>
        <w:rPr>
          <w:rFonts w:ascii="Times New Roman" w:hAnsi="Times New Roman"/>
          <w:sz w:val="28"/>
        </w:rPr>
      </w:pPr>
      <w:r w:rsidRPr="00F35EA0"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0DA38F8A" wp14:editId="56C657FB">
            <wp:extent cx="5840569" cy="3615009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7" r="12507"/>
                    <a:stretch/>
                  </pic:blipFill>
                  <pic:spPr bwMode="auto">
                    <a:xfrm>
                      <a:off x="0" y="0"/>
                      <a:ext cx="5870179" cy="36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79C" w:rsidRPr="00BD795E" w:rsidRDefault="0006779C" w:rsidP="0006779C">
      <w:pPr>
        <w:spacing w:after="0"/>
        <w:jc w:val="center"/>
        <w:rPr>
          <w:rFonts w:ascii="Times New Roman" w:hAnsi="Times New Roman"/>
          <w:sz w:val="24"/>
        </w:rPr>
      </w:pPr>
      <w:r w:rsidRPr="00BD795E">
        <w:rPr>
          <w:rFonts w:ascii="Times New Roman" w:hAnsi="Times New Roman"/>
          <w:sz w:val="24"/>
        </w:rPr>
        <w:t>Рис. 7.2. Результаты краткосрочного прогнозирования скорости на «1 час вперёд» на базе различных моделей машинного обучения</w:t>
      </w:r>
    </w:p>
    <w:p w:rsidR="0006779C" w:rsidRDefault="0006779C" w:rsidP="0006779C">
      <w:pPr>
        <w:spacing w:after="0"/>
        <w:jc w:val="center"/>
        <w:rPr>
          <w:rFonts w:ascii="Times New Roman" w:hAnsi="Times New Roman"/>
          <w:sz w:val="28"/>
        </w:rPr>
      </w:pP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Отдельным перспективным направлением являются «глубокие» ИНС. Под г</w:t>
      </w:r>
      <w:r w:rsidRPr="001A042F">
        <w:rPr>
          <w:rFonts w:ascii="Times New Roman" w:hAnsi="Times New Roman"/>
          <w:sz w:val="28"/>
        </w:rPr>
        <w:t>лубин</w:t>
      </w:r>
      <w:r>
        <w:rPr>
          <w:rFonts w:ascii="Times New Roman" w:hAnsi="Times New Roman"/>
          <w:sz w:val="28"/>
        </w:rPr>
        <w:t>ным</w:t>
      </w:r>
      <w:r w:rsidRPr="001A042F">
        <w:rPr>
          <w:rFonts w:ascii="Times New Roman" w:hAnsi="Times New Roman"/>
          <w:sz w:val="28"/>
        </w:rPr>
        <w:t xml:space="preserve"> или глубок</w:t>
      </w:r>
      <w:r>
        <w:rPr>
          <w:rFonts w:ascii="Times New Roman" w:hAnsi="Times New Roman"/>
          <w:sz w:val="28"/>
        </w:rPr>
        <w:t>им</w:t>
      </w:r>
      <w:r w:rsidRPr="001A042F">
        <w:rPr>
          <w:rFonts w:ascii="Times New Roman" w:hAnsi="Times New Roman"/>
          <w:sz w:val="28"/>
        </w:rPr>
        <w:t xml:space="preserve"> обучение</w:t>
      </w:r>
      <w:r>
        <w:rPr>
          <w:rFonts w:ascii="Times New Roman" w:hAnsi="Times New Roman"/>
          <w:sz w:val="28"/>
        </w:rPr>
        <w:t>м</w:t>
      </w:r>
      <w:r w:rsidRPr="001A042F">
        <w:rPr>
          <w:rFonts w:ascii="Times New Roman" w:hAnsi="Times New Roman"/>
          <w:sz w:val="28"/>
        </w:rPr>
        <w:t xml:space="preserve"> (англ. Deep learning) </w:t>
      </w:r>
      <w:r>
        <w:rPr>
          <w:rFonts w:ascii="Times New Roman" w:hAnsi="Times New Roman"/>
          <w:sz w:val="28"/>
        </w:rPr>
        <w:t>понимается</w:t>
      </w:r>
      <w:r w:rsidRPr="001A042F">
        <w:rPr>
          <w:rFonts w:ascii="Times New Roman" w:hAnsi="Times New Roman"/>
          <w:sz w:val="28"/>
        </w:rPr>
        <w:t xml:space="preserve"> набор алгоритмов машинного обучения, которые пытаются моделировать высокоуровневые абстракции в данных, используя архитектуры, состоящие из множества нелинейных трансформаций</w:t>
      </w:r>
      <w:r w:rsidRPr="007E30A4">
        <w:rPr>
          <w:rFonts w:ascii="Times New Roman" w:hAnsi="Times New Roman"/>
          <w:sz w:val="28"/>
        </w:rPr>
        <w:t xml:space="preserve"> [25]</w:t>
      </w:r>
      <w:r w:rsidRPr="001A042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При этом под термином </w:t>
      </w:r>
      <w:r w:rsidRPr="001A042F">
        <w:rPr>
          <w:rFonts w:ascii="Times New Roman" w:hAnsi="Times New Roman"/>
          <w:sz w:val="28"/>
        </w:rPr>
        <w:t xml:space="preserve">«глубина» в данном случае понимается глубина графа вычислений модели — максимальная длина между входным и выходным узлами конкретной архитектуры. В случае, например, простой </w:t>
      </w:r>
      <w:r>
        <w:rPr>
          <w:rFonts w:ascii="Times New Roman" w:hAnsi="Times New Roman"/>
          <w:sz w:val="28"/>
        </w:rPr>
        <w:t>ИНС</w:t>
      </w:r>
      <w:r w:rsidRPr="001A042F">
        <w:rPr>
          <w:rFonts w:ascii="Times New Roman" w:hAnsi="Times New Roman"/>
          <w:sz w:val="28"/>
        </w:rPr>
        <w:t xml:space="preserve"> прямого распространения глубина соответствует количеству слоев сети. </w:t>
      </w:r>
    </w:p>
    <w:p w:rsidR="0006779C" w:rsidRDefault="0006779C" w:rsidP="0006779C">
      <w:pPr>
        <w:spacing w:after="0"/>
        <w:jc w:val="center"/>
        <w:rPr>
          <w:rFonts w:ascii="Times New Roman" w:hAnsi="Times New Roman"/>
          <w:sz w:val="28"/>
        </w:rPr>
      </w:pPr>
    </w:p>
    <w:p w:rsidR="0006779C" w:rsidRPr="007E30A4" w:rsidRDefault="0006779C" w:rsidP="0006779C">
      <w:pPr>
        <w:spacing w:after="0"/>
        <w:jc w:val="center"/>
        <w:rPr>
          <w:rFonts w:ascii="Times New Roman" w:hAnsi="Times New Roman"/>
          <w:sz w:val="24"/>
        </w:rPr>
      </w:pPr>
      <w:r w:rsidRPr="007E30A4">
        <w:rPr>
          <w:rFonts w:ascii="Times New Roman" w:hAnsi="Times New Roman"/>
          <w:sz w:val="24"/>
        </w:rPr>
        <w:t>Таблица 7.</w:t>
      </w:r>
      <w:r>
        <w:rPr>
          <w:rFonts w:ascii="Times New Roman" w:hAnsi="Times New Roman"/>
          <w:sz w:val="24"/>
        </w:rPr>
        <w:t>3</w:t>
      </w:r>
      <w:r w:rsidRPr="007E30A4">
        <w:rPr>
          <w:rFonts w:ascii="Times New Roman" w:hAnsi="Times New Roman"/>
          <w:sz w:val="24"/>
        </w:rPr>
        <w:t>. Результаты прогнозирования скорости ветра для ветроэнергетических установок Апшеронского полуострова, Азербайджан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2972"/>
        <w:gridCol w:w="1929"/>
      </w:tblGrid>
      <w:tr w:rsidR="0006779C" w:rsidTr="007920B1">
        <w:tc>
          <w:tcPr>
            <w:tcW w:w="4444" w:type="dxa"/>
          </w:tcPr>
          <w:p w:rsidR="0006779C" w:rsidRPr="001F06E2" w:rsidRDefault="0006779C" w:rsidP="007920B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F06E2">
              <w:rPr>
                <w:rFonts w:ascii="Times New Roman" w:hAnsi="Times New Roman"/>
                <w:b/>
                <w:sz w:val="28"/>
              </w:rPr>
              <w:t>Модели</w:t>
            </w:r>
            <w:r>
              <w:rPr>
                <w:rFonts w:ascii="Times New Roman" w:hAnsi="Times New Roman"/>
                <w:b/>
                <w:sz w:val="28"/>
              </w:rPr>
              <w:t xml:space="preserve"> прогнозирования</w:t>
            </w:r>
          </w:p>
        </w:tc>
        <w:tc>
          <w:tcPr>
            <w:tcW w:w="2972" w:type="dxa"/>
          </w:tcPr>
          <w:p w:rsidR="0006779C" w:rsidRPr="001F06E2" w:rsidRDefault="0006779C" w:rsidP="007920B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Среднеквадратичная ошибка, %</w:t>
            </w:r>
          </w:p>
        </w:tc>
        <w:tc>
          <w:tcPr>
            <w:tcW w:w="1929" w:type="dxa"/>
          </w:tcPr>
          <w:p w:rsidR="0006779C" w:rsidRPr="001F06E2" w:rsidRDefault="0006779C" w:rsidP="007920B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Средняя абсолютная ошибка</w:t>
            </w:r>
          </w:p>
        </w:tc>
      </w:tr>
      <w:tr w:rsidR="0006779C" w:rsidTr="007920B1">
        <w:tc>
          <w:tcPr>
            <w:tcW w:w="4444" w:type="dxa"/>
          </w:tcPr>
          <w:p w:rsidR="0006779C" w:rsidRDefault="0006779C" w:rsidP="007920B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Многослойный персептрон, МП</w:t>
            </w:r>
          </w:p>
        </w:tc>
        <w:tc>
          <w:tcPr>
            <w:tcW w:w="2972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8.11</w:t>
            </w:r>
          </w:p>
        </w:tc>
        <w:tc>
          <w:tcPr>
            <w:tcW w:w="1929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7.21</w:t>
            </w:r>
          </w:p>
        </w:tc>
      </w:tr>
      <w:tr w:rsidR="0006779C" w:rsidTr="007920B1">
        <w:tc>
          <w:tcPr>
            <w:tcW w:w="4444" w:type="dxa"/>
          </w:tcPr>
          <w:p w:rsidR="0006779C" w:rsidRDefault="0006779C" w:rsidP="007920B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Нейросеть на базе радиально-базисной функции, РБФ</w:t>
            </w:r>
          </w:p>
        </w:tc>
        <w:tc>
          <w:tcPr>
            <w:tcW w:w="2972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4.71</w:t>
            </w:r>
          </w:p>
        </w:tc>
        <w:tc>
          <w:tcPr>
            <w:tcW w:w="1929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3.51</w:t>
            </w:r>
          </w:p>
        </w:tc>
      </w:tr>
      <w:tr w:rsidR="0006779C" w:rsidTr="007920B1">
        <w:tc>
          <w:tcPr>
            <w:tcW w:w="4444" w:type="dxa"/>
          </w:tcPr>
          <w:p w:rsidR="0006779C" w:rsidRPr="001564C8" w:rsidRDefault="0006779C" w:rsidP="007920B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Машина опорных векторов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МОВ</w:t>
            </w:r>
          </w:p>
        </w:tc>
        <w:tc>
          <w:tcPr>
            <w:tcW w:w="2972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0.42</w:t>
            </w:r>
          </w:p>
        </w:tc>
        <w:tc>
          <w:tcPr>
            <w:tcW w:w="1929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0.31</w:t>
            </w:r>
          </w:p>
        </w:tc>
      </w:tr>
      <w:tr w:rsidR="0006779C" w:rsidTr="007920B1">
        <w:tc>
          <w:tcPr>
            <w:tcW w:w="4444" w:type="dxa"/>
          </w:tcPr>
          <w:p w:rsidR="0006779C" w:rsidRDefault="0006779C" w:rsidP="007920B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Модель случайного леса </w:t>
            </w:r>
          </w:p>
        </w:tc>
        <w:tc>
          <w:tcPr>
            <w:tcW w:w="2972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0.89</w:t>
            </w:r>
          </w:p>
        </w:tc>
        <w:tc>
          <w:tcPr>
            <w:tcW w:w="1929" w:type="dxa"/>
          </w:tcPr>
          <w:p w:rsidR="0006779C" w:rsidRDefault="0006779C" w:rsidP="007920B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0.62</w:t>
            </w:r>
          </w:p>
        </w:tc>
      </w:tr>
    </w:tbl>
    <w:p w:rsidR="0006779C" w:rsidRDefault="0006779C" w:rsidP="0006779C">
      <w:pPr>
        <w:spacing w:after="0"/>
        <w:jc w:val="center"/>
        <w:rPr>
          <w:rFonts w:ascii="Times New Roman" w:hAnsi="Times New Roman"/>
          <w:sz w:val="28"/>
        </w:rPr>
      </w:pPr>
    </w:p>
    <w:p w:rsidR="0006779C" w:rsidRPr="0020662E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r w:rsidRPr="00D22F2A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26</w:t>
      </w:r>
      <w:r w:rsidRPr="00D22F2A">
        <w:rPr>
          <w:rFonts w:ascii="Times New Roman" w:hAnsi="Times New Roman"/>
          <w:sz w:val="28"/>
        </w:rPr>
        <w:t xml:space="preserve">] </w:t>
      </w:r>
      <w:r>
        <w:rPr>
          <w:rFonts w:ascii="Times New Roman" w:hAnsi="Times New Roman"/>
          <w:sz w:val="28"/>
        </w:rPr>
        <w:t>для</w:t>
      </w:r>
      <w:r w:rsidRPr="00D22F2A">
        <w:rPr>
          <w:rFonts w:ascii="Times New Roman" w:hAnsi="Times New Roman"/>
          <w:sz w:val="28"/>
        </w:rPr>
        <w:t xml:space="preserve"> предсказания потребления электроэнергии</w:t>
      </w:r>
      <w:r>
        <w:rPr>
          <w:rFonts w:ascii="Times New Roman" w:hAnsi="Times New Roman"/>
          <w:sz w:val="28"/>
        </w:rPr>
        <w:t xml:space="preserve"> в различных районах г. Палермо, Италия</w:t>
      </w:r>
      <w:r w:rsidRPr="00D22F2A">
        <w:rPr>
          <w:rFonts w:ascii="Times New Roman" w:hAnsi="Times New Roman"/>
          <w:sz w:val="28"/>
        </w:rPr>
        <w:t xml:space="preserve"> на основе</w:t>
      </w:r>
      <w:r>
        <w:rPr>
          <w:rFonts w:ascii="Times New Roman" w:hAnsi="Times New Roman"/>
          <w:sz w:val="28"/>
        </w:rPr>
        <w:t xml:space="preserve"> множества зависимых факторов использовалась рекуррентная ИНС</w:t>
      </w:r>
      <w:r w:rsidRPr="00D22F2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Данный тип ИНС относится к «</w:t>
      </w:r>
      <w:r w:rsidRPr="0020662E">
        <w:rPr>
          <w:rFonts w:ascii="Times New Roman" w:hAnsi="Times New Roman"/>
          <w:sz w:val="28"/>
        </w:rPr>
        <w:t>глубок</w:t>
      </w:r>
      <w:r>
        <w:rPr>
          <w:rFonts w:ascii="Times New Roman" w:hAnsi="Times New Roman"/>
          <w:sz w:val="28"/>
        </w:rPr>
        <w:t>им» нейросетям</w:t>
      </w:r>
      <w:r w:rsidRPr="0020662E">
        <w:rPr>
          <w:rFonts w:ascii="Times New Roman" w:hAnsi="Times New Roman"/>
          <w:sz w:val="28"/>
        </w:rPr>
        <w:t>, обладающ</w:t>
      </w:r>
      <w:r>
        <w:rPr>
          <w:rFonts w:ascii="Times New Roman" w:hAnsi="Times New Roman"/>
          <w:sz w:val="28"/>
        </w:rPr>
        <w:t>им свойством памяти и часто ис</w:t>
      </w:r>
      <w:r w:rsidRPr="0020662E">
        <w:rPr>
          <w:rFonts w:ascii="Times New Roman" w:hAnsi="Times New Roman"/>
          <w:sz w:val="28"/>
        </w:rPr>
        <w:t xml:space="preserve">пользующаяся </w:t>
      </w:r>
      <w:r>
        <w:rPr>
          <w:rFonts w:ascii="Times New Roman" w:hAnsi="Times New Roman"/>
          <w:sz w:val="28"/>
        </w:rPr>
        <w:t>при</w:t>
      </w:r>
      <w:r w:rsidRPr="0020662E">
        <w:rPr>
          <w:rFonts w:ascii="Times New Roman" w:hAnsi="Times New Roman"/>
          <w:sz w:val="28"/>
        </w:rPr>
        <w:t xml:space="preserve"> анализе временных явлений.</w:t>
      </w:r>
      <w:r>
        <w:rPr>
          <w:rFonts w:ascii="Times New Roman" w:hAnsi="Times New Roman"/>
          <w:sz w:val="28"/>
        </w:rPr>
        <w:t xml:space="preserve"> В приведённом исследовании б</w:t>
      </w:r>
      <w:r w:rsidRPr="00D22F2A">
        <w:rPr>
          <w:rFonts w:ascii="Times New Roman" w:hAnsi="Times New Roman"/>
          <w:sz w:val="28"/>
        </w:rPr>
        <w:t xml:space="preserve">ыли собраны </w:t>
      </w:r>
      <w:r>
        <w:rPr>
          <w:rFonts w:ascii="Times New Roman" w:hAnsi="Times New Roman"/>
          <w:sz w:val="28"/>
        </w:rPr>
        <w:t xml:space="preserve">многочисленные </w:t>
      </w:r>
      <w:r w:rsidRPr="00D22F2A">
        <w:rPr>
          <w:rFonts w:ascii="Times New Roman" w:hAnsi="Times New Roman"/>
          <w:sz w:val="28"/>
        </w:rPr>
        <w:t xml:space="preserve">данные об энергопотреблении </w:t>
      </w:r>
      <w:r>
        <w:rPr>
          <w:rFonts w:ascii="Times New Roman" w:hAnsi="Times New Roman"/>
          <w:sz w:val="28"/>
        </w:rPr>
        <w:t xml:space="preserve">по отдельным районам города, а также различные погодные показатели в </w:t>
      </w:r>
      <w:r w:rsidRPr="00D22F2A">
        <w:rPr>
          <w:rFonts w:ascii="Times New Roman" w:hAnsi="Times New Roman"/>
          <w:sz w:val="28"/>
        </w:rPr>
        <w:t>регионе. Измерения проводились каждый час. После обработки данных в работе</w:t>
      </w:r>
      <w:r>
        <w:rPr>
          <w:rFonts w:ascii="Times New Roman" w:hAnsi="Times New Roman"/>
          <w:sz w:val="28"/>
        </w:rPr>
        <w:t xml:space="preserve"> были определены новые перемен</w:t>
      </w:r>
      <w:r w:rsidRPr="00D22F2A">
        <w:rPr>
          <w:rFonts w:ascii="Times New Roman" w:hAnsi="Times New Roman"/>
          <w:sz w:val="28"/>
        </w:rPr>
        <w:t>ные на основе старых</w:t>
      </w:r>
      <w:r>
        <w:rPr>
          <w:rFonts w:ascii="Times New Roman" w:hAnsi="Times New Roman"/>
          <w:sz w:val="28"/>
        </w:rPr>
        <w:t>, а именно:</w:t>
      </w:r>
      <w:r w:rsidRPr="00D22F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D22F2A">
        <w:rPr>
          <w:rFonts w:ascii="Times New Roman" w:hAnsi="Times New Roman"/>
          <w:sz w:val="28"/>
        </w:rPr>
        <w:t>ндекс H</w:t>
      </w:r>
      <w:r>
        <w:rPr>
          <w:rFonts w:ascii="Times New Roman" w:hAnsi="Times New Roman"/>
          <w:sz w:val="28"/>
        </w:rPr>
        <w:t xml:space="preserve">umidex, представляющий собой </w:t>
      </w:r>
      <w:r w:rsidRPr="00D22F2A">
        <w:rPr>
          <w:rFonts w:ascii="Times New Roman" w:hAnsi="Times New Roman"/>
          <w:sz w:val="28"/>
        </w:rPr>
        <w:t>наиболее популярн</w:t>
      </w:r>
      <w:r>
        <w:rPr>
          <w:rFonts w:ascii="Times New Roman" w:hAnsi="Times New Roman"/>
          <w:sz w:val="28"/>
        </w:rPr>
        <w:t>ую</w:t>
      </w:r>
      <w:r w:rsidRPr="00D22F2A"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у</w:t>
      </w:r>
      <w:r w:rsidRPr="00D22F2A">
        <w:rPr>
          <w:rFonts w:ascii="Times New Roman" w:hAnsi="Times New Roman"/>
          <w:sz w:val="28"/>
        </w:rPr>
        <w:t xml:space="preserve"> дискомфорта погодных условий</w:t>
      </w:r>
      <w:r>
        <w:rPr>
          <w:rFonts w:ascii="Times New Roman" w:hAnsi="Times New Roman"/>
          <w:sz w:val="28"/>
        </w:rPr>
        <w:t xml:space="preserve"> и вероятностный индекс HS, рассчитываемый как и</w:t>
      </w:r>
      <w:r w:rsidRPr="00D22F2A">
        <w:rPr>
          <w:rFonts w:ascii="Times New Roman" w:hAnsi="Times New Roman"/>
          <w:sz w:val="28"/>
        </w:rPr>
        <w:t>ндекс Humidex</w:t>
      </w:r>
      <w:r>
        <w:rPr>
          <w:rFonts w:ascii="Times New Roman" w:hAnsi="Times New Roman"/>
          <w:sz w:val="28"/>
        </w:rPr>
        <w:t>, только с учетом вероятности включения термостатов у потребителей</w:t>
      </w:r>
      <w:r w:rsidRPr="00D22F2A">
        <w:rPr>
          <w:rFonts w:ascii="Times New Roman" w:hAnsi="Times New Roman"/>
          <w:sz w:val="28"/>
        </w:rPr>
        <w:t xml:space="preserve">. В результате </w:t>
      </w:r>
      <w:r>
        <w:rPr>
          <w:rFonts w:ascii="Times New Roman" w:hAnsi="Times New Roman"/>
          <w:sz w:val="28"/>
        </w:rPr>
        <w:t>удалось достигнуть минимальную ошибку прогноза, равную</w:t>
      </w:r>
      <w:r w:rsidRPr="00D22F2A">
        <w:rPr>
          <w:rFonts w:ascii="Times New Roman" w:hAnsi="Times New Roman"/>
          <w:sz w:val="28"/>
        </w:rPr>
        <w:t xml:space="preserve"> 4%.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3272E">
        <w:rPr>
          <w:rFonts w:ascii="Times New Roman" w:hAnsi="Times New Roman"/>
          <w:sz w:val="28"/>
          <w:szCs w:val="28"/>
        </w:rPr>
        <w:t>есмотря на несомненные достоинства</w:t>
      </w:r>
      <w:r>
        <w:rPr>
          <w:rFonts w:ascii="Times New Roman" w:hAnsi="Times New Roman"/>
          <w:sz w:val="28"/>
          <w:szCs w:val="28"/>
        </w:rPr>
        <w:t xml:space="preserve"> отмеченных моделей машинного обучения</w:t>
      </w:r>
      <w:r w:rsidRPr="00C3272E">
        <w:rPr>
          <w:rFonts w:ascii="Times New Roman" w:hAnsi="Times New Roman"/>
          <w:sz w:val="28"/>
          <w:szCs w:val="28"/>
        </w:rPr>
        <w:t xml:space="preserve">, многие исследователи считают, что вопрос о высокой эффективности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C3272E">
        <w:rPr>
          <w:rFonts w:ascii="Times New Roman" w:hAnsi="Times New Roman"/>
          <w:sz w:val="28"/>
          <w:szCs w:val="28"/>
        </w:rPr>
        <w:t>методов всё ещё остаётся открытым [</w:t>
      </w:r>
      <w:r>
        <w:rPr>
          <w:rFonts w:ascii="Times New Roman" w:hAnsi="Times New Roman"/>
          <w:sz w:val="28"/>
          <w:szCs w:val="28"/>
        </w:rPr>
        <w:t>18</w:t>
      </w:r>
      <w:r w:rsidRPr="00C3272E">
        <w:rPr>
          <w:rFonts w:ascii="Times New Roman" w:hAnsi="Times New Roman"/>
          <w:sz w:val="28"/>
          <w:szCs w:val="28"/>
        </w:rPr>
        <w:t xml:space="preserve">] и требует дальнейших </w:t>
      </w:r>
      <w:r>
        <w:rPr>
          <w:rFonts w:ascii="Times New Roman" w:hAnsi="Times New Roman"/>
          <w:sz w:val="28"/>
          <w:szCs w:val="28"/>
        </w:rPr>
        <w:t>исследований</w:t>
      </w:r>
      <w:r w:rsidRPr="00C327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72E">
        <w:rPr>
          <w:rFonts w:ascii="Times New Roman" w:hAnsi="Times New Roman"/>
          <w:sz w:val="28"/>
          <w:szCs w:val="28"/>
        </w:rPr>
        <w:t>Одним из наиболее перспективных направлений представляется использование гибридных подходов [17]. Например, в [17] модели ИНС и МОВ в комбинации с преобразованием Гильберта-Хуанга</w:t>
      </w:r>
      <w:r>
        <w:rPr>
          <w:rFonts w:ascii="Times New Roman" w:hAnsi="Times New Roman"/>
          <w:sz w:val="28"/>
          <w:szCs w:val="28"/>
        </w:rPr>
        <w:t xml:space="preserve"> (ПГХ)</w:t>
      </w:r>
      <w:r w:rsidRPr="00C3272E">
        <w:rPr>
          <w:rFonts w:ascii="Times New Roman" w:hAnsi="Times New Roman"/>
          <w:sz w:val="28"/>
          <w:szCs w:val="28"/>
        </w:rPr>
        <w:t>; в [</w:t>
      </w:r>
      <w:r>
        <w:rPr>
          <w:rFonts w:ascii="Times New Roman" w:hAnsi="Times New Roman"/>
          <w:sz w:val="28"/>
          <w:szCs w:val="28"/>
        </w:rPr>
        <w:t>27</w:t>
      </w:r>
      <w:r w:rsidRPr="00C3272E">
        <w:rPr>
          <w:rFonts w:ascii="Times New Roman" w:hAnsi="Times New Roman"/>
          <w:sz w:val="28"/>
          <w:szCs w:val="28"/>
        </w:rPr>
        <w:t xml:space="preserve">] методология Бокса — Дженкинса дополнена ИНС; нейросетевые модели в комбинации с методами </w:t>
      </w:r>
      <w:r>
        <w:rPr>
          <w:rFonts w:ascii="Times New Roman" w:hAnsi="Times New Roman"/>
          <w:sz w:val="28"/>
          <w:szCs w:val="28"/>
        </w:rPr>
        <w:t>нечёткой логики предложены в [28</w:t>
      </w:r>
      <w:r w:rsidRPr="00C3272E">
        <w:rPr>
          <w:rFonts w:ascii="Times New Roman" w:hAnsi="Times New Roman"/>
          <w:sz w:val="28"/>
          <w:szCs w:val="28"/>
        </w:rPr>
        <w:t>]; модели, комбинирующие ИНС и теорию всплесков, представлены в [</w:t>
      </w:r>
      <w:r>
        <w:rPr>
          <w:rFonts w:ascii="Times New Roman" w:hAnsi="Times New Roman"/>
          <w:sz w:val="28"/>
          <w:szCs w:val="28"/>
        </w:rPr>
        <w:t>29</w:t>
      </w:r>
      <w:r w:rsidRPr="00C3272E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>Достаточно подробный</w:t>
      </w:r>
      <w:r w:rsidRPr="00C3272E">
        <w:rPr>
          <w:rFonts w:ascii="Times New Roman" w:hAnsi="Times New Roman"/>
          <w:sz w:val="28"/>
          <w:szCs w:val="28"/>
        </w:rPr>
        <w:t xml:space="preserve"> обзор методов на основе алгоритмов нечёткой логики приведён в [</w:t>
      </w:r>
      <w:r>
        <w:rPr>
          <w:rFonts w:ascii="Times New Roman" w:hAnsi="Times New Roman"/>
          <w:sz w:val="28"/>
          <w:szCs w:val="28"/>
        </w:rPr>
        <w:t>30</w:t>
      </w:r>
      <w:r w:rsidRPr="00C327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C3272E">
        <w:rPr>
          <w:rFonts w:ascii="Times New Roman" w:hAnsi="Times New Roman"/>
          <w:sz w:val="28"/>
          <w:szCs w:val="28"/>
        </w:rPr>
        <w:t xml:space="preserve">]. Успех гибридных подходов объясняется разделением задачи построения прогнозной модели на два базовых этапа: этап предобработки данных с целью выделения признаков, являющихся наиболее значимыми для прогноза, и непосредственно этап идентификации динамической прогнозной модели.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>
        <w:rPr>
          <w:rFonts w:ascii="Times New Roman" w:eastAsia="MS Mincho" w:hAnsi="Times New Roman"/>
          <w:sz w:val="28"/>
          <w:szCs w:val="24"/>
          <w:lang w:eastAsia="ru-RU"/>
        </w:rPr>
        <w:t xml:space="preserve">В </w:t>
      </w:r>
      <w:r w:rsidRPr="00381A97">
        <w:rPr>
          <w:rFonts w:ascii="Times New Roman" w:eastAsia="MS Mincho" w:hAnsi="Times New Roman"/>
          <w:sz w:val="28"/>
          <w:szCs w:val="24"/>
          <w:lang w:eastAsia="ru-RU"/>
        </w:rPr>
        <w:t>[</w:t>
      </w:r>
      <w:r>
        <w:rPr>
          <w:rFonts w:ascii="Times New Roman" w:eastAsia="MS Mincho" w:hAnsi="Times New Roman"/>
          <w:sz w:val="28"/>
          <w:szCs w:val="24"/>
          <w:lang w:eastAsia="ru-RU"/>
        </w:rPr>
        <w:t>17</w:t>
      </w:r>
      <w:r w:rsidRPr="00381A97">
        <w:rPr>
          <w:rFonts w:ascii="Times New Roman" w:eastAsia="MS Mincho" w:hAnsi="Times New Roman"/>
          <w:sz w:val="28"/>
          <w:szCs w:val="24"/>
          <w:lang w:eastAsia="ru-RU"/>
        </w:rPr>
        <w:t xml:space="preserve">] 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предложена модификация 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>адаптивного подхода к прогнозированию временных рядов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 (рис. 7.3)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 xml:space="preserve">. В </w:t>
      </w:r>
      <w:r>
        <w:rPr>
          <w:rFonts w:ascii="Times New Roman" w:eastAsia="MS Mincho" w:hAnsi="Times New Roman"/>
          <w:sz w:val="28"/>
          <w:szCs w:val="24"/>
          <w:lang w:eastAsia="ru-RU"/>
        </w:rPr>
        <w:t>основе подхода лежит сочетание эффективного аппара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 xml:space="preserve">та анализа нестационарных временных рядов на базе 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ПГХ 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>и алгоритмов машинного обучения.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 </w:t>
      </w:r>
    </w:p>
    <w:p w:rsidR="0006779C" w:rsidRPr="00914988" w:rsidRDefault="0006779C" w:rsidP="000677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779C" w:rsidRPr="00BD795E" w:rsidRDefault="0006779C" w:rsidP="0006779C">
      <w:pPr>
        <w:spacing w:after="0" w:line="240" w:lineRule="auto"/>
        <w:ind w:firstLine="567"/>
        <w:jc w:val="center"/>
      </w:pPr>
      <w:r>
        <w:object w:dxaOrig="6464" w:dyaOrig="6851">
          <v:shape id="_x0000_i1026" type="#_x0000_t75" style="width:4in;height:304.5pt" o:ole="">
            <v:imagedata r:id="rId11" o:title=""/>
          </v:shape>
          <o:OLEObject Type="Embed" ProgID="Visio.Drawing.15" ShapeID="_x0000_i1026" DrawAspect="Content" ObjectID="_1544438721" r:id="rId12"/>
        </w:object>
      </w:r>
    </w:p>
    <w:p w:rsidR="0006779C" w:rsidRPr="00BD795E" w:rsidRDefault="0006779C" w:rsidP="0006779C">
      <w:pPr>
        <w:spacing w:after="0"/>
        <w:jc w:val="center"/>
        <w:rPr>
          <w:rFonts w:ascii="Times New Roman" w:eastAsia="MS Mincho" w:hAnsi="Times New Roman"/>
          <w:sz w:val="24"/>
          <w:szCs w:val="28"/>
          <w:lang w:eastAsia="ru-RU"/>
        </w:rPr>
      </w:pPr>
      <w:r w:rsidRPr="00BD795E">
        <w:rPr>
          <w:rFonts w:ascii="Times New Roman" w:eastAsia="MS Mincho" w:hAnsi="Times New Roman"/>
          <w:sz w:val="24"/>
          <w:szCs w:val="28"/>
          <w:lang w:eastAsia="ru-RU"/>
        </w:rPr>
        <w:t>Рис. 7.3 Общая диаграмма гибридного подхода для создания прогнозных моделей</w:t>
      </w:r>
    </w:p>
    <w:p w:rsidR="0006779C" w:rsidRDefault="0006779C" w:rsidP="0006779C">
      <w:pPr>
        <w:spacing w:after="0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6779C" w:rsidRDefault="0006779C" w:rsidP="0006779C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7E17E8">
        <w:rPr>
          <w:rFonts w:ascii="Times New Roman" w:eastAsia="MS Mincho" w:hAnsi="Times New Roman"/>
          <w:sz w:val="28"/>
          <w:szCs w:val="24"/>
          <w:lang w:eastAsia="ru-RU"/>
        </w:rPr>
        <w:t>На первом этапе исходный сигнал разлагает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ся в специальный эмпирический 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>адаптивный ортогональный базис и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 применяется интегральное преоб</w:t>
      </w:r>
      <w:r w:rsidRPr="007E17E8">
        <w:rPr>
          <w:rFonts w:ascii="Times New Roman" w:eastAsia="MS Mincho" w:hAnsi="Times New Roman"/>
          <w:sz w:val="28"/>
          <w:szCs w:val="24"/>
          <w:lang w:eastAsia="ru-RU"/>
        </w:rPr>
        <w:t xml:space="preserve">разование Гильберта. На втором этапе </w:t>
      </w:r>
      <w:r w:rsidRPr="00D8166F">
        <w:rPr>
          <w:rFonts w:ascii="Times New Roman" w:eastAsia="MS Mincho" w:hAnsi="Times New Roman"/>
          <w:sz w:val="28"/>
          <w:szCs w:val="24"/>
          <w:lang w:eastAsia="ru-RU"/>
        </w:rPr>
        <w:t xml:space="preserve">полученные модальные функции и мгновенные амплитуды используются для автоматического нахождения оптимальных комбинаций входных переменных для последующего применения алгоритмов прогнозирования c использованием 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обучаемых моделей </w:t>
      </w:r>
      <w:r w:rsidRPr="00D8166F">
        <w:rPr>
          <w:rFonts w:ascii="Times New Roman" w:eastAsia="MS Mincho" w:hAnsi="Times New Roman"/>
          <w:sz w:val="28"/>
          <w:szCs w:val="24"/>
          <w:lang w:eastAsia="ru-RU"/>
        </w:rPr>
        <w:t>МОВ</w:t>
      </w:r>
      <w:r>
        <w:rPr>
          <w:rFonts w:ascii="Times New Roman" w:eastAsia="MS Mincho" w:hAnsi="Times New Roman"/>
          <w:sz w:val="28"/>
          <w:szCs w:val="24"/>
          <w:lang w:eastAsia="ru-RU"/>
        </w:rPr>
        <w:t>,</w:t>
      </w:r>
      <w:r w:rsidRPr="00D8166F">
        <w:rPr>
          <w:rFonts w:ascii="Times New Roman" w:eastAsia="MS Mincho" w:hAnsi="Times New Roman"/>
          <w:sz w:val="28"/>
          <w:szCs w:val="24"/>
          <w:lang w:eastAsia="ru-RU"/>
        </w:rPr>
        <w:t xml:space="preserve"> ИНС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 и ДР</w:t>
      </w:r>
      <w:r w:rsidRPr="00D8166F">
        <w:rPr>
          <w:rFonts w:ascii="Times New Roman" w:eastAsia="MS Mincho" w:hAnsi="Times New Roman"/>
          <w:sz w:val="28"/>
          <w:szCs w:val="24"/>
          <w:lang w:eastAsia="ru-RU"/>
        </w:rPr>
        <w:t>.</w:t>
      </w:r>
      <w:r>
        <w:rPr>
          <w:rFonts w:ascii="Times New Roman" w:eastAsia="MS Mincho" w:hAnsi="Times New Roman"/>
          <w:sz w:val="28"/>
          <w:szCs w:val="24"/>
          <w:lang w:eastAsia="ru-RU"/>
        </w:rPr>
        <w:t xml:space="preserve"> Отбор значимых компонент преобразованного ряда может быть выполнен на базе различных подходов: метода имитации отжига, генетического алгоритма и т.д. Таким образом, применение ПГХ и методик отбора значимых признаков позволяют убрать компоненты шума из исходного реализации прогнозируемого параметра, что позволяет повысить точность предсказания в условиях существенной нестационарности временного ряда, наличия «плохих данных» и т.п.   </w:t>
      </w:r>
    </w:p>
    <w:p w:rsidR="0006779C" w:rsidRDefault="0006779C" w:rsidP="0006779C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04912">
        <w:rPr>
          <w:rFonts w:ascii="Times New Roman" w:eastAsia="MS Mincho" w:hAnsi="Times New Roman"/>
          <w:sz w:val="28"/>
          <w:szCs w:val="28"/>
          <w:lang w:eastAsia="ru-RU"/>
        </w:rPr>
        <w:t xml:space="preserve">Эффективность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данного гибридного </w:t>
      </w:r>
      <w:r w:rsidRPr="00104912">
        <w:rPr>
          <w:rFonts w:ascii="Times New Roman" w:eastAsia="MS Mincho" w:hAnsi="Times New Roman"/>
          <w:sz w:val="28"/>
          <w:szCs w:val="28"/>
          <w:lang w:eastAsia="ru-RU"/>
        </w:rPr>
        <w:t>подхода продем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онстрирована на реальных данных в различных тестовых задачах: </w:t>
      </w:r>
    </w:p>
    <w:p w:rsidR="0006779C" w:rsidRDefault="0006779C" w:rsidP="0006779C">
      <w:pPr>
        <w:numPr>
          <w:ilvl w:val="0"/>
          <w:numId w:val="2"/>
        </w:numPr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04912">
        <w:rPr>
          <w:rFonts w:ascii="Times New Roman" w:eastAsia="MS Mincho" w:hAnsi="Times New Roman"/>
          <w:sz w:val="28"/>
          <w:szCs w:val="28"/>
          <w:lang w:eastAsia="ru-RU"/>
        </w:rPr>
        <w:t>при сверхкраткосрочном прогнозировании перетоков активной мощности участка тяговой подстанции «Гидростроитель –Коршуниха», Россия, Иркутская обл</w:t>
      </w:r>
      <w:r>
        <w:rPr>
          <w:rFonts w:ascii="Times New Roman" w:eastAsia="MS Mincho" w:hAnsi="Times New Roman"/>
          <w:sz w:val="28"/>
          <w:szCs w:val="28"/>
          <w:lang w:eastAsia="ru-RU"/>
        </w:rPr>
        <w:t>асть (рис.7.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) 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[</w:t>
      </w:r>
      <w:r>
        <w:rPr>
          <w:rFonts w:ascii="Times New Roman" w:eastAsia="MS Mincho" w:hAnsi="Times New Roman"/>
          <w:sz w:val="28"/>
          <w:szCs w:val="28"/>
          <w:lang w:eastAsia="ru-RU"/>
        </w:rPr>
        <w:t>15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];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</w:p>
    <w:p w:rsidR="0006779C" w:rsidRDefault="0006779C" w:rsidP="0006779C">
      <w:pPr>
        <w:numPr>
          <w:ilvl w:val="0"/>
          <w:numId w:val="2"/>
        </w:numPr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04912">
        <w:rPr>
          <w:rFonts w:ascii="Times New Roman" w:eastAsia="MS Mincho" w:hAnsi="Times New Roman"/>
          <w:sz w:val="28"/>
          <w:szCs w:val="28"/>
          <w:lang w:eastAsia="ru-RU"/>
        </w:rPr>
        <w:t>при прогнозировании скорости ветра «на 24 часа вперёд» для задач управления режимами ветровых электростанций региона Валентия, Ирландия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(рис. 7.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5</w:t>
      </w:r>
      <w:r>
        <w:rPr>
          <w:rFonts w:ascii="Times New Roman" w:eastAsia="MS Mincho" w:hAnsi="Times New Roman"/>
          <w:sz w:val="28"/>
          <w:szCs w:val="28"/>
          <w:lang w:eastAsia="ru-RU"/>
        </w:rPr>
        <w:t>)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MS Mincho" w:hAnsi="Times New Roman"/>
          <w:sz w:val="28"/>
          <w:szCs w:val="28"/>
          <w:lang w:eastAsia="ru-RU"/>
        </w:rPr>
        <w:t>32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];</w:t>
      </w:r>
    </w:p>
    <w:p w:rsidR="0006779C" w:rsidRPr="00B136A3" w:rsidRDefault="0006779C" w:rsidP="0006779C">
      <w:pPr>
        <w:numPr>
          <w:ilvl w:val="0"/>
          <w:numId w:val="2"/>
        </w:numPr>
        <w:spacing w:after="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п</w:t>
      </w:r>
      <w:r w:rsidRPr="00104912">
        <w:rPr>
          <w:rFonts w:ascii="Times New Roman" w:eastAsia="MS Mincho" w:hAnsi="Times New Roman"/>
          <w:sz w:val="28"/>
          <w:szCs w:val="28"/>
          <w:lang w:eastAsia="ru-RU"/>
        </w:rPr>
        <w:t>ри прогнозировании цен на электроэнергию «на 1 час вперёд» по данным Североевропейской энергетической биржи и Австралийской национальной энергетической биржи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(рис. 7.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6</w:t>
      </w:r>
      <w:r>
        <w:rPr>
          <w:rFonts w:ascii="Times New Roman" w:eastAsia="MS Mincho" w:hAnsi="Times New Roman"/>
          <w:sz w:val="28"/>
          <w:szCs w:val="28"/>
          <w:lang w:eastAsia="ru-RU"/>
        </w:rPr>
        <w:t>, 7.7, табл. 7.4)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 xml:space="preserve"> [</w:t>
      </w:r>
      <w:r>
        <w:rPr>
          <w:rFonts w:ascii="Times New Roman" w:eastAsia="MS Mincho" w:hAnsi="Times New Roman"/>
          <w:sz w:val="28"/>
          <w:szCs w:val="28"/>
          <w:lang w:eastAsia="ru-RU"/>
        </w:rPr>
        <w:t>18</w:t>
      </w:r>
      <w:r w:rsidRPr="000D12DD">
        <w:rPr>
          <w:rFonts w:ascii="Times New Roman" w:eastAsia="MS Mincho" w:hAnsi="Times New Roman"/>
          <w:sz w:val="28"/>
          <w:szCs w:val="28"/>
          <w:lang w:eastAsia="ru-RU"/>
        </w:rPr>
        <w:t>]</w:t>
      </w:r>
      <w:r w:rsidRPr="00104912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06779C" w:rsidRPr="00104912" w:rsidRDefault="0006779C" w:rsidP="0006779C">
      <w:pPr>
        <w:spacing w:after="0" w:line="240" w:lineRule="auto"/>
        <w:ind w:hanging="284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16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912">
        <w:rPr>
          <w:rFonts w:ascii="Times New Roman" w:eastAsia="MS Mincho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23540" cy="21888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9C" w:rsidRPr="00104912" w:rsidRDefault="0006779C" w:rsidP="0006779C">
      <w:pPr>
        <w:spacing w:after="0" w:line="240" w:lineRule="auto"/>
        <w:ind w:hanging="426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104912">
        <w:rPr>
          <w:rFonts w:ascii="Times New Roman" w:eastAsia="MS Mincho" w:hAnsi="Times New Roman"/>
          <w:sz w:val="24"/>
          <w:szCs w:val="24"/>
          <w:lang w:eastAsia="ru-RU"/>
        </w:rPr>
        <w:t xml:space="preserve">Рис. </w:t>
      </w:r>
      <w:r>
        <w:rPr>
          <w:rFonts w:ascii="Times New Roman" w:eastAsia="MS Mincho" w:hAnsi="Times New Roman"/>
          <w:sz w:val="24"/>
          <w:szCs w:val="24"/>
          <w:lang w:eastAsia="ru-RU"/>
        </w:rPr>
        <w:t>7.4</w:t>
      </w:r>
      <w:r w:rsidRPr="00104912">
        <w:rPr>
          <w:rFonts w:ascii="Times New Roman" w:eastAsia="MS Mincho" w:hAnsi="Times New Roman"/>
          <w:sz w:val="24"/>
          <w:szCs w:val="24"/>
          <w:lang w:eastAsia="ru-RU"/>
        </w:rPr>
        <w:t>. Результаты прогнозирование перетока активной мощности</w:t>
      </w:r>
      <w:r w:rsidRPr="00F35EA0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ru-RU"/>
        </w:rPr>
        <w:t>тяговой подстанции</w:t>
      </w:r>
      <w:r w:rsidRPr="00104912">
        <w:rPr>
          <w:rFonts w:ascii="Times New Roman" w:eastAsia="MS Mincho" w:hAnsi="Times New Roman"/>
          <w:sz w:val="24"/>
          <w:szCs w:val="24"/>
          <w:lang w:eastAsia="ru-RU"/>
        </w:rPr>
        <w:t>, Иркутская обл., Россия</w:t>
      </w:r>
    </w:p>
    <w:p w:rsidR="0006779C" w:rsidRPr="00104912" w:rsidRDefault="0006779C" w:rsidP="0006779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779C" w:rsidRPr="00104912" w:rsidRDefault="0006779C" w:rsidP="0006779C">
      <w:pPr>
        <w:spacing w:after="0" w:line="240" w:lineRule="auto"/>
        <w:ind w:hanging="284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96260" cy="23139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20060" cy="22650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9C" w:rsidRDefault="0006779C" w:rsidP="0006779C">
      <w:pPr>
        <w:spacing w:after="0" w:line="240" w:lineRule="auto"/>
        <w:ind w:hanging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104912">
        <w:rPr>
          <w:rFonts w:ascii="Times New Roman" w:eastAsia="MS Mincho" w:hAnsi="Times New Roman"/>
          <w:sz w:val="24"/>
          <w:szCs w:val="24"/>
          <w:lang w:eastAsia="ru-RU"/>
        </w:rPr>
        <w:t xml:space="preserve">Рис. </w:t>
      </w:r>
      <w:r>
        <w:rPr>
          <w:rFonts w:ascii="Times New Roman" w:eastAsia="MS Mincho" w:hAnsi="Times New Roman"/>
          <w:sz w:val="24"/>
          <w:szCs w:val="24"/>
          <w:lang w:eastAsia="ru-RU"/>
        </w:rPr>
        <w:t>7.5</w:t>
      </w:r>
      <w:r w:rsidRPr="00104912">
        <w:rPr>
          <w:rFonts w:ascii="Times New Roman" w:eastAsia="MS Mincho" w:hAnsi="Times New Roman"/>
          <w:sz w:val="24"/>
          <w:szCs w:val="24"/>
          <w:lang w:eastAsia="ru-RU"/>
        </w:rPr>
        <w:t>. Результаты прогнозирования скорости ветра «на 24 часа вперёд», Валентия, Ирландия</w:t>
      </w:r>
    </w:p>
    <w:p w:rsidR="0006779C" w:rsidRDefault="0006779C" w:rsidP="0006779C">
      <w:pPr>
        <w:spacing w:after="0" w:line="240" w:lineRule="auto"/>
        <w:ind w:hanging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779C" w:rsidRDefault="0006779C" w:rsidP="0006779C">
      <w:pPr>
        <w:spacing w:after="0"/>
        <w:jc w:val="center"/>
        <w:rPr>
          <w:rFonts w:ascii="Times New Roman" w:eastAsia="MS Mincho" w:hAnsi="Times New Roman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2A1087" wp14:editId="72C8C46F">
            <wp:extent cx="4871777" cy="3954706"/>
            <wp:effectExtent l="0" t="0" r="508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0419" cy="396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9C" w:rsidRPr="00A365FA" w:rsidRDefault="0006779C" w:rsidP="0006779C">
      <w:pPr>
        <w:spacing w:after="0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A365FA">
        <w:rPr>
          <w:rFonts w:ascii="Times New Roman" w:eastAsia="MS Mincho" w:hAnsi="Times New Roman"/>
          <w:sz w:val="24"/>
          <w:szCs w:val="24"/>
          <w:lang w:eastAsia="ru-RU"/>
        </w:rPr>
        <w:t>Рис. 7.6. Результаты разложения на эмпирические моды цен на электроэнергию для зоны Южного Уэльса (Австралия) для периода 23 апреля – 21 мая 2006 г.</w:t>
      </w:r>
    </w:p>
    <w:p w:rsidR="0006779C" w:rsidRDefault="0006779C" w:rsidP="0006779C">
      <w:pPr>
        <w:spacing w:after="0" w:line="240" w:lineRule="auto"/>
        <w:ind w:hanging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779C" w:rsidRDefault="0006779C" w:rsidP="0006779C">
      <w:pPr>
        <w:spacing w:after="0"/>
        <w:jc w:val="center"/>
      </w:pPr>
      <w:r>
        <w:object w:dxaOrig="9361" w:dyaOrig="7021">
          <v:shape id="_x0000_i1027" type="#_x0000_t75" style="width:351.75pt;height:261.75pt;mso-position-vertical:absolute" o:ole="">
            <v:imagedata r:id="rId18" o:title=""/>
          </v:shape>
          <o:OLEObject Type="Embed" ProgID="STATISTICA.Graph" ShapeID="_x0000_i1027" DrawAspect="Content" ObjectID="_1544438722" r:id="rId19">
            <o:FieldCodes>\s</o:FieldCodes>
          </o:OLEObject>
        </w:object>
      </w:r>
    </w:p>
    <w:p w:rsidR="0006779C" w:rsidRPr="00E1777B" w:rsidRDefault="0006779C" w:rsidP="000677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Р</w:t>
      </w:r>
      <w:r w:rsidRPr="00E1777B">
        <w:rPr>
          <w:rFonts w:ascii="Times New Roman" w:eastAsia="Times New Roman" w:hAnsi="Times New Roman"/>
          <w:sz w:val="24"/>
          <w:szCs w:val="24"/>
          <w:lang w:eastAsia="fr-FR"/>
        </w:rPr>
        <w:t>ис. 7.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7</w:t>
      </w:r>
      <w:r w:rsidRPr="00E1777B">
        <w:rPr>
          <w:rFonts w:ascii="Times New Roman" w:eastAsia="Times New Roman" w:hAnsi="Times New Roman"/>
          <w:sz w:val="24"/>
          <w:szCs w:val="24"/>
          <w:lang w:eastAsia="fr-FR"/>
        </w:rPr>
        <w:t>. Результаты прогнозирования цен на электроэнергию рынка Австралии «на 1 час вперёд» с использованием ПГХ-ИНС и ПГХ-МОВ гибридных моделей</w:t>
      </w:r>
    </w:p>
    <w:p w:rsidR="0006779C" w:rsidRDefault="0006779C" w:rsidP="000677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779C" w:rsidRDefault="0006779C" w:rsidP="000677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779C" w:rsidRDefault="0006779C" w:rsidP="000677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779C" w:rsidRPr="00E1777B" w:rsidRDefault="0006779C" w:rsidP="000677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fr-FR"/>
        </w:rPr>
      </w:pPr>
      <w:r w:rsidRPr="00E1777B">
        <w:rPr>
          <w:rFonts w:ascii="Times New Roman" w:eastAsia="Times New Roman" w:hAnsi="Times New Roman"/>
          <w:sz w:val="24"/>
          <w:szCs w:val="20"/>
          <w:lang w:eastAsia="fr-FR"/>
        </w:rPr>
        <w:t xml:space="preserve">Таблица </w:t>
      </w:r>
      <w:r>
        <w:rPr>
          <w:rFonts w:ascii="Times New Roman" w:eastAsia="Times New Roman" w:hAnsi="Times New Roman"/>
          <w:sz w:val="24"/>
          <w:szCs w:val="20"/>
          <w:lang w:eastAsia="fr-FR"/>
        </w:rPr>
        <w:t>7.4</w:t>
      </w:r>
      <w:r w:rsidRPr="00E1777B">
        <w:rPr>
          <w:rFonts w:ascii="Times New Roman" w:eastAsia="Times New Roman" w:hAnsi="Times New Roman"/>
          <w:sz w:val="24"/>
          <w:szCs w:val="20"/>
          <w:lang w:eastAsia="fr-FR"/>
        </w:rPr>
        <w:t>.</w:t>
      </w:r>
    </w:p>
    <w:p w:rsidR="0006779C" w:rsidRPr="00A365FA" w:rsidRDefault="0006779C" w:rsidP="000677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fr-FR"/>
        </w:rPr>
      </w:pPr>
      <w:r w:rsidRPr="00E1777B">
        <w:rPr>
          <w:rFonts w:ascii="Times New Roman" w:eastAsia="Times New Roman" w:hAnsi="Times New Roman"/>
          <w:sz w:val="24"/>
          <w:szCs w:val="20"/>
          <w:lang w:eastAsia="fr-FR"/>
        </w:rPr>
        <w:lastRenderedPageBreak/>
        <w:t>Результаты сравнения прогнозов цен на электроэнергию рынка Австралии «на 1 час вперёд» с и</w:t>
      </w:r>
      <w:r>
        <w:rPr>
          <w:rFonts w:ascii="Times New Roman" w:eastAsia="Times New Roman" w:hAnsi="Times New Roman"/>
          <w:sz w:val="24"/>
          <w:szCs w:val="20"/>
          <w:lang w:eastAsia="fr-FR"/>
        </w:rPr>
        <w:t>спользованием гибридных моделей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432"/>
        <w:gridCol w:w="2310"/>
        <w:gridCol w:w="1877"/>
        <w:gridCol w:w="1879"/>
      </w:tblGrid>
      <w:tr w:rsidR="0006779C" w:rsidRPr="00E1777B" w:rsidTr="007920B1">
        <w:trPr>
          <w:trHeight w:val="822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Сезон</w:t>
            </w: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/</w:t>
            </w: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Период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Ошибки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АРПСС-ИНС гибридная модель</w:t>
            </w:r>
          </w:p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 xml:space="preserve"> [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27</w:t>
            </w: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]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ПГХ-ИНС гибридная модель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ПГХ-МОВ гибридная модель</w:t>
            </w:r>
          </w:p>
        </w:tc>
      </w:tr>
      <w:tr w:rsidR="0006779C" w:rsidRPr="00E1777B" w:rsidTr="007920B1">
        <w:trPr>
          <w:trHeight w:val="318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Осень</w:t>
            </w:r>
          </w:p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21 – 27.05.2006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MAPE (%)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13.03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12.24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17.16</w:t>
            </w:r>
          </w:p>
        </w:tc>
      </w:tr>
      <w:tr w:rsidR="0006779C" w:rsidRPr="00E1777B" w:rsidTr="007920B1">
        <w:trPr>
          <w:trHeight w:val="259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MAE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7.12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3.86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7.01</w:t>
            </w:r>
          </w:p>
        </w:tc>
      </w:tr>
      <w:tr w:rsidR="0006779C" w:rsidRPr="00E1777B" w:rsidTr="007920B1">
        <w:trPr>
          <w:trHeight w:val="259"/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RMSE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28.02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val="en-US" w:eastAsia="fr-FR"/>
              </w:rPr>
              <w:t>20.12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6779C" w:rsidRPr="00E1777B" w:rsidRDefault="0006779C" w:rsidP="0079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</w:pPr>
            <w:r w:rsidRPr="00E1777B">
              <w:rPr>
                <w:rFonts w:ascii="Times New Roman" w:eastAsia="Times New Roman" w:hAnsi="Times New Roman"/>
                <w:sz w:val="24"/>
                <w:szCs w:val="20"/>
                <w:lang w:eastAsia="fr-FR"/>
              </w:rPr>
              <w:t>23.74</w:t>
            </w:r>
          </w:p>
        </w:tc>
      </w:tr>
    </w:tbl>
    <w:p w:rsidR="0006779C" w:rsidRDefault="0006779C" w:rsidP="000677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2FE7" w:rsidRDefault="00511B04">
      <w:pPr>
        <w:rPr>
          <w:rFonts w:ascii="Times New Roman" w:hAnsi="Times New Roman"/>
          <w:b/>
          <w:sz w:val="28"/>
          <w:szCs w:val="28"/>
        </w:rPr>
      </w:pPr>
      <w:r w:rsidRPr="00511B04">
        <w:rPr>
          <w:rFonts w:ascii="Times New Roman" w:hAnsi="Times New Roman"/>
          <w:b/>
          <w:sz w:val="28"/>
          <w:szCs w:val="28"/>
        </w:rPr>
        <w:t>Литература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F35EA0">
        <w:rPr>
          <w:rFonts w:ascii="Times New Roman" w:hAnsi="Times New Roman"/>
          <w:sz w:val="28"/>
          <w:szCs w:val="28"/>
          <w:lang w:val="ru-RU"/>
        </w:rPr>
        <w:t>Аверкин А. Н., Гаазе-Рапопорт М. Г., Поспелов Д. А. Толковый словарь по искусственному интеллекту. — М.:Радио и связь, 1992. — 256 с.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A96C08">
        <w:rPr>
          <w:rFonts w:ascii="Times New Roman" w:hAnsi="Times New Roman"/>
          <w:sz w:val="28"/>
          <w:szCs w:val="28"/>
          <w:lang w:val="ru-RU"/>
        </w:rPr>
        <w:t>Курбацкий В.Г., Томин Н.В. Интеллектуальные системы и модели для задач управления электроэнергетическими</w:t>
      </w:r>
      <w:r>
        <w:rPr>
          <w:rFonts w:ascii="Times New Roman" w:hAnsi="Times New Roman"/>
          <w:sz w:val="28"/>
          <w:szCs w:val="28"/>
          <w:lang w:val="ru-RU"/>
        </w:rPr>
        <w:t xml:space="preserve"> системами России / Труды Международной конфе</w:t>
      </w:r>
      <w:r w:rsidRPr="00A96C08">
        <w:rPr>
          <w:rFonts w:ascii="Times New Roman" w:hAnsi="Times New Roman"/>
          <w:sz w:val="28"/>
          <w:szCs w:val="28"/>
          <w:lang w:val="ru-RU"/>
        </w:rPr>
        <w:t>ренции …., Сумгаит, Азербайджан, 2015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Васильев С.Н. Теоретические основы, методы и модели управления большими электроэнергетическими системами </w:t>
      </w:r>
      <w:r w:rsidRPr="00B00FDD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0FDD">
        <w:rPr>
          <w:rFonts w:ascii="Times New Roman" w:hAnsi="Times New Roman"/>
          <w:sz w:val="28"/>
          <w:szCs w:val="28"/>
          <w:lang w:val="ru-RU"/>
        </w:rPr>
        <w:t>С.Н. Васильев</w:t>
      </w:r>
      <w:r>
        <w:rPr>
          <w:rFonts w:ascii="Times New Roman" w:hAnsi="Times New Roman"/>
          <w:sz w:val="28"/>
          <w:szCs w:val="28"/>
          <w:lang w:val="ru-RU"/>
        </w:rPr>
        <w:t>, Н.И. Воропай, Д.Б. Гвоздев и др</w:t>
      </w:r>
      <w:r w:rsidRPr="00B00FDD">
        <w:rPr>
          <w:rFonts w:ascii="Times New Roman" w:hAnsi="Times New Roman"/>
          <w:sz w:val="28"/>
          <w:szCs w:val="28"/>
          <w:lang w:val="ru-RU"/>
        </w:rPr>
        <w:t>. М.: Издательство ПАО "ФСК ЕЭС", 2015.</w:t>
      </w:r>
      <w:r>
        <w:rPr>
          <w:rFonts w:ascii="Times New Roman" w:hAnsi="Times New Roman"/>
          <w:sz w:val="28"/>
          <w:szCs w:val="28"/>
          <w:lang w:val="ru-RU"/>
        </w:rPr>
        <w:t xml:space="preserve"> 188 с.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A96C08">
        <w:rPr>
          <w:rFonts w:ascii="Times New Roman" w:hAnsi="Times New Roman"/>
          <w:sz w:val="28"/>
          <w:szCs w:val="28"/>
          <w:lang w:val="ru-RU"/>
        </w:rPr>
        <w:t>Гамм А.З., Глазунова А.М., Гришин Ю.А., Курбацкий В.Г., Сидоров Д.Н., Спиряев В.А., Томин Н.В. Методы прогнозирования параметров режима электроэнергетических систем для целей мониторинга и управления // Электричество. 2011;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A96C0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–  С. </w:t>
      </w:r>
      <w:r w:rsidRPr="00A96C08">
        <w:rPr>
          <w:rFonts w:ascii="Times New Roman" w:hAnsi="Times New Roman"/>
          <w:sz w:val="28"/>
          <w:szCs w:val="28"/>
          <w:lang w:val="ru-RU"/>
        </w:rPr>
        <w:t>17-26.</w:t>
      </w:r>
    </w:p>
    <w:p w:rsidR="001E7968" w:rsidRPr="000D2083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D2083">
        <w:rPr>
          <w:rFonts w:ascii="Times New Roman" w:hAnsi="Times New Roman"/>
          <w:sz w:val="28"/>
          <w:szCs w:val="28"/>
          <w:lang w:val="en-US"/>
        </w:rPr>
        <w:t xml:space="preserve">Hippert H.S. Neural Networks for Short-Term Load Forecasting: A Review and Evaluation / H. Steinherz Hippert, C. Eduardo Pedreira, R. Castro Souza, // IEEE Trans. </w:t>
      </w:r>
      <w:r w:rsidRPr="000D2083">
        <w:rPr>
          <w:rFonts w:ascii="Times New Roman" w:hAnsi="Times New Roman"/>
          <w:sz w:val="28"/>
          <w:szCs w:val="28"/>
        </w:rPr>
        <w:t xml:space="preserve">On Power Systems. - 2001. - Vol. 16. - No. 1. </w:t>
      </w:r>
    </w:p>
    <w:p w:rsidR="001E7968" w:rsidRPr="000D2083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D2083">
        <w:rPr>
          <w:rFonts w:ascii="Times New Roman" w:hAnsi="Times New Roman"/>
          <w:sz w:val="28"/>
          <w:szCs w:val="28"/>
          <w:lang w:val="ru-RU"/>
        </w:rPr>
        <w:t xml:space="preserve">Шумилова Г. П., Готман Н. Э., Старцева Т. Б., Прогнозирование электрических нагрузок при оперативном управлении электроэнергетическими системами на основе нейросетевых структур. </w:t>
      </w:r>
      <w:r w:rsidRPr="000D2083">
        <w:rPr>
          <w:rFonts w:ascii="Times New Roman" w:hAnsi="Times New Roman"/>
          <w:sz w:val="28"/>
          <w:szCs w:val="28"/>
        </w:rPr>
        <w:t>Екатеринбург: УрО РАН, 2008, 89с.</w:t>
      </w:r>
    </w:p>
    <w:p w:rsidR="001E7968" w:rsidRPr="000D2083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D208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0D2083">
        <w:rPr>
          <w:rFonts w:ascii="Times New Roman" w:hAnsi="Times New Roman"/>
          <w:sz w:val="28"/>
          <w:szCs w:val="28"/>
          <w:lang w:val="ru-RU"/>
        </w:rPr>
        <w:t xml:space="preserve">овский С. Нейронные сети для обработки информации. </w:t>
      </w:r>
      <w:r w:rsidRPr="00B00FDD">
        <w:rPr>
          <w:rFonts w:ascii="Times New Roman" w:hAnsi="Times New Roman"/>
          <w:sz w:val="28"/>
          <w:szCs w:val="28"/>
          <w:lang w:val="ru-RU"/>
        </w:rPr>
        <w:t>М.: Финансы и статистика, 2004.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D2083">
        <w:rPr>
          <w:rFonts w:ascii="Times New Roman" w:hAnsi="Times New Roman"/>
          <w:sz w:val="28"/>
          <w:szCs w:val="28"/>
          <w:lang w:val="ru-RU"/>
        </w:rPr>
        <w:t>Поляков Н.Д., Приходько И.А., Ван Е. Прогнозирование электропотребления на основе метода опорных векторов с использованием эволюционных алгоритмов оптимизации // Современные проблемы науки и образования. – 2013. - № 2.</w:t>
      </w:r>
      <w:r w:rsidRPr="00B00F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B00F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00FDD">
        <w:rPr>
          <w:rFonts w:ascii="Times New Roman" w:hAnsi="Times New Roman"/>
          <w:sz w:val="28"/>
          <w:szCs w:val="28"/>
          <w:lang w:val="ru-RU"/>
        </w:rPr>
        <w:t>. 12-22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D2083">
        <w:rPr>
          <w:rFonts w:ascii="Times New Roman" w:hAnsi="Times New Roman"/>
          <w:sz w:val="28"/>
          <w:szCs w:val="28"/>
          <w:lang w:val="ru-RU"/>
        </w:rPr>
        <w:t>Надтока И. И., Аль-Зихери Баласим М. Краткосрочное прогнозирование нагрузки с помощью теории наименьших квадратов опорных векторов (</w:t>
      </w:r>
      <w:r w:rsidRPr="000D2083">
        <w:rPr>
          <w:rFonts w:ascii="Times New Roman" w:hAnsi="Times New Roman"/>
          <w:sz w:val="28"/>
          <w:szCs w:val="28"/>
        </w:rPr>
        <w:t>LS</w:t>
      </w:r>
      <w:r w:rsidRPr="000D2083">
        <w:rPr>
          <w:rFonts w:ascii="Times New Roman" w:hAnsi="Times New Roman"/>
          <w:sz w:val="28"/>
          <w:szCs w:val="28"/>
          <w:lang w:val="ru-RU"/>
        </w:rPr>
        <w:t>-</w:t>
      </w:r>
      <w:r w:rsidRPr="000D2083">
        <w:rPr>
          <w:rFonts w:ascii="Times New Roman" w:hAnsi="Times New Roman"/>
          <w:sz w:val="28"/>
          <w:szCs w:val="28"/>
        </w:rPr>
        <w:t>SVM</w:t>
      </w:r>
      <w:r w:rsidRPr="000D2083">
        <w:rPr>
          <w:rFonts w:ascii="Times New Roman" w:hAnsi="Times New Roman"/>
          <w:sz w:val="28"/>
          <w:szCs w:val="28"/>
          <w:lang w:val="ru-RU"/>
        </w:rPr>
        <w:t>) // Современные проблемы нау</w:t>
      </w:r>
      <w:r>
        <w:rPr>
          <w:rFonts w:ascii="Times New Roman" w:hAnsi="Times New Roman"/>
          <w:sz w:val="28"/>
          <w:szCs w:val="28"/>
          <w:lang w:val="ru-RU"/>
        </w:rPr>
        <w:t xml:space="preserve">ки и образования. – 2013. - № 6. </w:t>
      </w:r>
      <w:r w:rsidRPr="00B00FDD">
        <w:rPr>
          <w:rFonts w:ascii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00FDD">
        <w:rPr>
          <w:rFonts w:ascii="Times New Roman" w:hAnsi="Times New Roman"/>
          <w:sz w:val="28"/>
          <w:szCs w:val="28"/>
          <w:lang w:val="ru-RU"/>
        </w:rPr>
        <w:t>. 1-7.</w:t>
      </w:r>
    </w:p>
    <w:p w:rsidR="001E7968" w:rsidRPr="00B00FDD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0D2083">
        <w:rPr>
          <w:rFonts w:ascii="Times New Roman" w:hAnsi="Times New Roman"/>
          <w:sz w:val="28"/>
          <w:szCs w:val="28"/>
          <w:lang w:val="en-US"/>
        </w:rPr>
        <w:lastRenderedPageBreak/>
        <w:t>Mohandes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2083">
        <w:rPr>
          <w:rFonts w:ascii="Times New Roman" w:hAnsi="Times New Roman"/>
          <w:sz w:val="28"/>
          <w:szCs w:val="28"/>
          <w:lang w:val="en-US"/>
        </w:rPr>
        <w:t>M.A., Halawani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2083">
        <w:rPr>
          <w:rFonts w:ascii="Times New Roman" w:hAnsi="Times New Roman"/>
          <w:sz w:val="28"/>
          <w:szCs w:val="28"/>
          <w:lang w:val="en-US"/>
        </w:rPr>
        <w:t>T.O., Rehman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2083">
        <w:rPr>
          <w:rFonts w:ascii="Times New Roman" w:hAnsi="Times New Roman"/>
          <w:sz w:val="28"/>
          <w:szCs w:val="28"/>
          <w:lang w:val="en-US"/>
        </w:rPr>
        <w:t>S. and Hussain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2083">
        <w:rPr>
          <w:rFonts w:ascii="Times New Roman" w:hAnsi="Times New Roman"/>
          <w:sz w:val="28"/>
          <w:szCs w:val="28"/>
          <w:lang w:val="en-US"/>
        </w:rPr>
        <w:t>A. Support Vector Machines for wind speed prediction</w:t>
      </w:r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0D2083">
        <w:rPr>
          <w:rFonts w:ascii="Times New Roman" w:hAnsi="Times New Roman"/>
          <w:sz w:val="28"/>
          <w:szCs w:val="28"/>
          <w:lang w:val="en-US"/>
        </w:rPr>
        <w:t>Renewable Energy</w:t>
      </w:r>
      <w:r>
        <w:rPr>
          <w:rFonts w:ascii="Times New Roman" w:hAnsi="Times New Roman"/>
          <w:sz w:val="28"/>
          <w:szCs w:val="28"/>
          <w:lang w:val="en-US"/>
        </w:rPr>
        <w:t>, Vol.</w:t>
      </w:r>
      <w:r w:rsidRPr="000D2083">
        <w:rPr>
          <w:rFonts w:ascii="Times New Roman" w:hAnsi="Times New Roman"/>
          <w:sz w:val="28"/>
          <w:szCs w:val="28"/>
          <w:lang w:val="en-US"/>
        </w:rPr>
        <w:t xml:space="preserve"> 29</w:t>
      </w:r>
      <w:r>
        <w:rPr>
          <w:rFonts w:ascii="Times New Roman" w:hAnsi="Times New Roman"/>
          <w:sz w:val="28"/>
          <w:szCs w:val="28"/>
          <w:lang w:val="en-US"/>
        </w:rPr>
        <w:t>, No. 6</w:t>
      </w:r>
      <w:r w:rsidRPr="000D2083">
        <w:rPr>
          <w:rFonts w:ascii="Times New Roman" w:hAnsi="Times New Roman"/>
          <w:sz w:val="28"/>
          <w:szCs w:val="28"/>
          <w:lang w:val="en-US"/>
        </w:rPr>
        <w:t>, May 2004. Pp. 939-947.</w:t>
      </w:r>
    </w:p>
    <w:p w:rsidR="001E7968" w:rsidRPr="00B00FDD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0D2083">
        <w:rPr>
          <w:rFonts w:ascii="Times New Roman" w:hAnsi="Times New Roman"/>
          <w:sz w:val="28"/>
          <w:szCs w:val="28"/>
          <w:lang w:val="en-US"/>
        </w:rPr>
        <w:t>Miller</w:t>
      </w:r>
      <w:r>
        <w:rPr>
          <w:rFonts w:ascii="Times New Roman" w:hAnsi="Times New Roman"/>
          <w:sz w:val="28"/>
          <w:szCs w:val="28"/>
          <w:lang w:val="en-US"/>
        </w:rPr>
        <w:t xml:space="preserve"> K.R.,</w:t>
      </w:r>
      <w:r w:rsidRPr="000D2083">
        <w:rPr>
          <w:rFonts w:ascii="Times New Roman" w:hAnsi="Times New Roman"/>
          <w:sz w:val="28"/>
          <w:szCs w:val="28"/>
          <w:lang w:val="en-US"/>
        </w:rPr>
        <w:t xml:space="preserve"> Vapnik</w:t>
      </w:r>
      <w:r>
        <w:rPr>
          <w:rFonts w:ascii="Times New Roman" w:hAnsi="Times New Roman"/>
          <w:sz w:val="28"/>
          <w:szCs w:val="28"/>
          <w:lang w:val="en-US"/>
        </w:rPr>
        <w:t xml:space="preserve"> V</w:t>
      </w:r>
      <w:r w:rsidRPr="000D2083">
        <w:rPr>
          <w:rFonts w:ascii="Times New Roman" w:hAnsi="Times New Roman"/>
          <w:sz w:val="28"/>
          <w:szCs w:val="28"/>
          <w:lang w:val="en-US"/>
        </w:rPr>
        <w:t>. Using Support Vector Machine for Time Series Prediction. Cambridge: MIT, 1999, Pp. 243-253.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0D2083">
        <w:rPr>
          <w:rFonts w:ascii="Times New Roman" w:hAnsi="Times New Roman"/>
          <w:sz w:val="28"/>
          <w:szCs w:val="28"/>
          <w:lang w:val="en-US"/>
        </w:rPr>
        <w:t>Fugon L. Data mining for wind power forecasting / L. Fugon , J. Juban, G. Kariniotakis // Proc. the European Wind Energy Conference, Brussels, Belgium, Apr. 2008.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0D2083">
        <w:rPr>
          <w:rFonts w:ascii="Times New Roman" w:hAnsi="Times New Roman"/>
          <w:sz w:val="28"/>
          <w:szCs w:val="28"/>
          <w:lang w:val="en-US"/>
        </w:rPr>
        <w:t>Natenberg E.J. Application of a Random Forest Approach to Model Output Statistics for use in Day Ahead Wind Power Forecasts / E.J. Natenberg, D. J. Gagne II, J. W. Zack, J. Manobianco, G. E. Van Knowe, T. Melino // Proc. the Symposium on the Role of Statistical Methods in Weather and Climate Prediction, USA, Austin, 2013.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083">
        <w:rPr>
          <w:rFonts w:ascii="Times New Roman" w:hAnsi="Times New Roman" w:cs="Times New Roman"/>
          <w:sz w:val="28"/>
          <w:szCs w:val="28"/>
          <w:lang w:val="en-US"/>
        </w:rPr>
        <w:t>Zhang G. P., Patuwo B. E., Hu M. Y. Forecasting with artificial neural networks: The state of the art // Int. J. Forecast. 1998. V. 14, № 5. P. 35-–62.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208">
        <w:rPr>
          <w:rFonts w:ascii="Times New Roman" w:hAnsi="Times New Roman" w:cs="Times New Roman"/>
          <w:sz w:val="28"/>
          <w:szCs w:val="28"/>
          <w:lang w:val="ru-RU"/>
        </w:rPr>
        <w:t>Курбацкий</w:t>
      </w:r>
      <w:r w:rsidRPr="00B00F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>О нейросетевом подходе к прогнозированию нестационарных временных рядов на основе пр</w:t>
      </w:r>
      <w:r>
        <w:rPr>
          <w:rFonts w:ascii="Times New Roman" w:hAnsi="Times New Roman" w:cs="Times New Roman"/>
          <w:sz w:val="28"/>
          <w:szCs w:val="28"/>
          <w:lang w:val="ru-RU"/>
        </w:rPr>
        <w:t>еобразования Гильберта–Хуанга</w:t>
      </w:r>
      <w:r w:rsidRPr="00B00FDD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>В. Г. Курбацкий, Д. Н. Сидоро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в, В. А. Спиряев, Н. В. Томин.  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 xml:space="preserve">// Автомат. и телемех., 2011, № 7,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>. 58–68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208">
        <w:rPr>
          <w:rFonts w:ascii="Times New Roman" w:hAnsi="Times New Roman" w:cs="Times New Roman"/>
          <w:sz w:val="28"/>
          <w:szCs w:val="28"/>
          <w:lang w:val="ru-RU"/>
        </w:rPr>
        <w:t>Хайкин С. Нейронные сети: Полный курс. Пер. с англ. Н. Н. Куссуль, А. Ю. Шелестова. 2-е изд., испр. — М.: Издательский дом Вильямс, 2008, 1103 с.</w:t>
      </w:r>
    </w:p>
    <w:p w:rsidR="001E7968" w:rsidRPr="00914988" w:rsidRDefault="001E7968" w:rsidP="001E7968">
      <w:pPr>
        <w:pStyle w:val="a9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Курбацкий В.Г.</w:t>
      </w:r>
      <w:r w:rsidRPr="00914988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Прогнозирование нестационарных временных рядов на основе преобразования Гильберта - Хуанга и машинного обучения</w:t>
      </w:r>
      <w:r w:rsidRPr="00B00FDD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9F0208">
        <w:rPr>
          <w:rFonts w:ascii="Times New Roman" w:hAnsi="Times New Roman" w:cs="Times New Roman"/>
          <w:sz w:val="28"/>
          <w:szCs w:val="28"/>
          <w:lang w:val="ru-RU"/>
        </w:rPr>
        <w:t>В. Г. Курбацкий, Д. Н. Сидоро</w:t>
      </w:r>
      <w:r>
        <w:rPr>
          <w:rFonts w:ascii="Times New Roman" w:hAnsi="Times New Roman" w:cs="Times New Roman"/>
          <w:sz w:val="28"/>
          <w:szCs w:val="28"/>
          <w:lang w:val="ru-RU"/>
        </w:rPr>
        <w:t>в, В. А. Спиряев, Н. В. Томин</w:t>
      </w:r>
      <w:r w:rsidRPr="00914988">
        <w:rPr>
          <w:rFonts w:ascii="Times New Roman" w:hAnsi="Times New Roman" w:cs="Times New Roman"/>
          <w:sz w:val="28"/>
          <w:szCs w:val="28"/>
          <w:lang w:val="ru-RU"/>
        </w:rPr>
        <w:t xml:space="preserve"> // Автоматика и телемеханика. 2014. № 5. С. 143-158.</w:t>
      </w:r>
    </w:p>
    <w:p w:rsidR="001E7968" w:rsidRPr="00F06415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60D7">
        <w:rPr>
          <w:rFonts w:ascii="Times New Roman" w:hAnsi="Times New Roman" w:cs="Times New Roman"/>
          <w:sz w:val="28"/>
          <w:szCs w:val="28"/>
          <w:lang w:val="en-US"/>
        </w:rPr>
        <w:t>Adya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Collopy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effective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neural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forecasting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prediction</w:t>
      </w:r>
      <w:r w:rsidRPr="00954CA4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260D7">
        <w:rPr>
          <w:rFonts w:ascii="Times New Roman" w:hAnsi="Times New Roman" w:cs="Times New Roman"/>
          <w:sz w:val="28"/>
          <w:szCs w:val="28"/>
          <w:lang w:val="en-US"/>
        </w:rPr>
        <w:t xml:space="preserve">Forecast. </w:t>
      </w:r>
      <w:r w:rsidRPr="00F06415">
        <w:rPr>
          <w:rFonts w:ascii="Times New Roman" w:hAnsi="Times New Roman" w:cs="Times New Roman"/>
          <w:sz w:val="28"/>
          <w:szCs w:val="28"/>
          <w:lang w:val="en-US"/>
        </w:rPr>
        <w:t>1998. V. 17. № 5-–6. P. 481-–495.</w:t>
      </w:r>
    </w:p>
    <w:p w:rsidR="001E7968" w:rsidRPr="002223E4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6415">
        <w:rPr>
          <w:rFonts w:ascii="Times New Roman" w:hAnsi="Times New Roman" w:cs="Times New Roman"/>
          <w:sz w:val="28"/>
          <w:szCs w:val="28"/>
          <w:lang w:val="en-US"/>
        </w:rPr>
        <w:t>Yan W. Toward automatic time-series forecasting using neural networks // IEEE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415">
        <w:rPr>
          <w:rFonts w:ascii="Times New Roman" w:hAnsi="Times New Roman" w:cs="Times New Roman"/>
          <w:sz w:val="28"/>
          <w:szCs w:val="28"/>
          <w:lang w:val="en-US"/>
        </w:rPr>
        <w:t xml:space="preserve">Trans. Neural Networks Learning Syst. 2012. </w:t>
      </w:r>
      <w:r w:rsidRPr="002223E4">
        <w:rPr>
          <w:rFonts w:ascii="Times New Roman" w:hAnsi="Times New Roman" w:cs="Times New Roman"/>
          <w:sz w:val="28"/>
          <w:szCs w:val="28"/>
          <w:lang w:val="en-US"/>
        </w:rPr>
        <w:t>V. 23. № 7. P. 1028–1039.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415">
        <w:rPr>
          <w:rFonts w:ascii="Times New Roman" w:hAnsi="Times New Roman" w:cs="Times New Roman"/>
          <w:sz w:val="28"/>
          <w:szCs w:val="28"/>
          <w:lang w:val="ru-RU"/>
        </w:rPr>
        <w:t xml:space="preserve">Вапник В.Н., Лернер А.Я. Узнавание образов при помощи обобщенных портретов // АиТ. 1963. Т. 24. № 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>C. 12-25.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415">
        <w:rPr>
          <w:rFonts w:ascii="Times New Roman" w:hAnsi="Times New Roman" w:cs="Times New Roman"/>
          <w:sz w:val="28"/>
          <w:szCs w:val="28"/>
          <w:lang w:val="en-US"/>
        </w:rPr>
        <w:t>Cover T. Geometrical and statistical properties of systems of linear inequalities with applications in pattern recognition // IEEE Trans. Electron. Comput. 1965. V. 14.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415">
        <w:rPr>
          <w:rFonts w:ascii="Times New Roman" w:hAnsi="Times New Roman" w:cs="Times New Roman"/>
          <w:sz w:val="28"/>
          <w:szCs w:val="28"/>
          <w:lang w:val="ru-RU"/>
        </w:rPr>
        <w:t>P. 326–334.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6415">
        <w:rPr>
          <w:rFonts w:ascii="Times New Roman" w:hAnsi="Times New Roman" w:cs="Times New Roman"/>
          <w:sz w:val="28"/>
          <w:szCs w:val="28"/>
          <w:lang w:val="en-US"/>
        </w:rPr>
        <w:t>Geoffrey K.F. Tso Kelvin K.W. Yau. Predicting electricity energy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415">
        <w:rPr>
          <w:rFonts w:ascii="Times New Roman" w:hAnsi="Times New Roman" w:cs="Times New Roman"/>
          <w:sz w:val="28"/>
          <w:szCs w:val="28"/>
          <w:lang w:val="en-US"/>
        </w:rPr>
        <w:t>consumption: A comparison of regression analysis, decision tree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6415">
        <w:rPr>
          <w:rFonts w:ascii="Times New Roman" w:hAnsi="Times New Roman" w:cs="Times New Roman"/>
          <w:sz w:val="28"/>
          <w:szCs w:val="28"/>
          <w:lang w:val="en-US"/>
        </w:rPr>
        <w:t>neural networks // Energy. –– 2007. –– Vol. 32, no. 9. –– P. 1761–1768.</w:t>
      </w:r>
    </w:p>
    <w:p w:rsidR="001E7968" w:rsidRPr="007E30A4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0A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Рахманов, Н.Р. Краткосрочное прогнозирование выработки мощности ветроэнергетических установок для обеспечения надежности электрических сетей / Н.Р. Рахманов, В.Г.Курбацкий, Г.Б. Гулиев, Н.В. Томин. Методические вопросы исследования надежности больших систем энергетики: Сб. науч. статей. Вып. 66. Актуальные проблемы надежности систем энергетики, Минск, 2015, С.397-404.</w:t>
      </w:r>
    </w:p>
    <w:p w:rsidR="001E7968" w:rsidRP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0A4">
        <w:rPr>
          <w:rFonts w:ascii="Times New Roman" w:hAnsi="Times New Roman" w:cs="Times New Roman"/>
          <w:sz w:val="28"/>
          <w:szCs w:val="28"/>
          <w:lang w:val="ru-RU"/>
        </w:rPr>
        <w:t xml:space="preserve">Кормен, Т., Лейзерсон, Ч., Ривест, Р., Штайн, К. Глава 16. Жадные алгоритмы // Алгоритмы: построение и анализ = 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7E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E3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Algorithms</w:t>
      </w:r>
      <w:r w:rsidRPr="007E30A4">
        <w:rPr>
          <w:rFonts w:ascii="Times New Roman" w:hAnsi="Times New Roman" w:cs="Times New Roman"/>
          <w:sz w:val="28"/>
          <w:szCs w:val="28"/>
          <w:lang w:val="ru-RU"/>
        </w:rPr>
        <w:t xml:space="preserve"> / Под ред. И. В. Красикова. — 2-е изд. — М.: Вил</w:t>
      </w:r>
      <w:r w:rsidRPr="001E7968">
        <w:rPr>
          <w:rFonts w:ascii="Times New Roman" w:hAnsi="Times New Roman" w:cs="Times New Roman"/>
          <w:sz w:val="28"/>
          <w:szCs w:val="28"/>
          <w:lang w:val="ru-RU"/>
        </w:rPr>
        <w:t xml:space="preserve">ьямс, 2005. — 1296 с. </w:t>
      </w:r>
    </w:p>
    <w:p w:rsidR="001E7968" w:rsidRPr="007E30A4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0A4">
        <w:rPr>
          <w:rFonts w:ascii="Times New Roman" w:hAnsi="Times New Roman" w:cs="Times New Roman"/>
          <w:sz w:val="28"/>
          <w:szCs w:val="28"/>
          <w:lang w:val="en-US"/>
        </w:rPr>
        <w:t>Deng, L.; Yu, D. (2014). "Deep Lear</w:t>
      </w:r>
      <w:r>
        <w:rPr>
          <w:rFonts w:ascii="Times New Roman" w:hAnsi="Times New Roman" w:cs="Times New Roman"/>
          <w:sz w:val="28"/>
          <w:szCs w:val="28"/>
          <w:lang w:val="en-US"/>
        </w:rPr>
        <w:t>ning: Methods and Applications"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. Foundations and Trends in Signal Processing. 7 (3-4): 1–199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30A4">
        <w:rPr>
          <w:rFonts w:ascii="Times New Roman" w:hAnsi="Times New Roman" w:cs="Times New Roman"/>
          <w:sz w:val="28"/>
          <w:szCs w:val="28"/>
          <w:lang w:val="en-US"/>
        </w:rPr>
        <w:t>Taghrid Samak Christine Morin David Bailey. Short-term prediction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household electricity consumption: Assessing weather sensitivity in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30A4">
        <w:rPr>
          <w:rFonts w:ascii="Times New Roman" w:hAnsi="Times New Roman" w:cs="Times New Roman"/>
          <w:sz w:val="28"/>
          <w:szCs w:val="28"/>
          <w:lang w:val="en-US"/>
        </w:rPr>
        <w:t>Mediterranean area // Renewable and Sustainable Energy Reviews. ––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2007. –– Vol. 12. –– P. 2040–2065.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Areekul Ph. A Hybrid ARIMA and Neural Network Model for Short-Term Price Forecasting in Deregulated Market / Ph. Areekul, T. Senjyu, H. Toyama, A. Yona // IEEE Trans. Power Syst. 2010. - Vol. 25, No. 1. - Pp. 524--530.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Khotanzad A.Z. A neuro-fuzzy approach to short-term load forecasting in a price sensitive environment / A. Zhou Khotanzad, H. Elragal // IEEE Trans. Power Syst. 2002. - Vol. 17, N. 4. - Pp. l273--1282.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Sinha N. Wavelet-GA-ANN Based Hybrid Model for Accurate Prediction of Short-Term Load Forecast / N. Sinha, L.L. Lai, P. Kumar Ghosh, Y. Ma // Proc. the IEEE Inter. Conf. on ISAP. - 2007. - Toki Messe, Niigata. - Pp. 1-8.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Damousis I.G. A fuzzy model expert system for the forecasting of wind speed and power generation in wind farms / I.G. Damousis, P. Dokopoulos // Proc. of the IEEE International Conference on Power Industry Computer Applications PICA 01. - 2001. - Pp. 63-69.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Foley A. M. Current Methods and Advances in Forecasting of Wind Power Generation / A. M. Foley, P.G. Leahy, A. Marvuglia, E. J. McKeogh // Renewable Energy. - 2012. - Vol. 37, N. 1. - Pp. 1-8.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N. Tomin, D. Sidorov, V. Kurbatsky, V. Spiryaev, A. Zhukov, P. Leahy. “A Hybrid Wind Speed Forecasting Strategy based on Hilbert-Huang Transform and Machine Learning Algorithms”, in Proc. of  2014 International Conference on Power System Technology (POWERCON 2014), Chengdu, China, 20-22 Oct. 2014</w:t>
      </w:r>
    </w:p>
    <w:p w:rsidR="001E7968" w:rsidRPr="0091498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988">
        <w:rPr>
          <w:rFonts w:ascii="Times New Roman" w:hAnsi="Times New Roman" w:cs="Times New Roman"/>
          <w:sz w:val="28"/>
          <w:szCs w:val="28"/>
          <w:lang w:val="ru-RU"/>
        </w:rPr>
        <w:t xml:space="preserve">Манов Н.А. Методы и модели исследования надежности электроэнергетических систем/ Манов Н.С. и [др.]. – Коми научный центр УрО РАН, Сыктывкар, 2010. – 292 с. </w:t>
      </w:r>
    </w:p>
    <w:p w:rsidR="001E7968" w:rsidRPr="0091498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988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Негневицкий М., Панасецкий Д.А., Томин Н.В., Воропай Н.И., Ретанц К., Хэгер У., Курбацкий В.Г. Интеллектуальная система для предотвращения крупных аварий в энергосистемах // Электричество, №.8, 2014, С. 1-8 (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>ISSN</w:t>
      </w:r>
      <w:r w:rsidRPr="00914988">
        <w:rPr>
          <w:rFonts w:ascii="Times New Roman" w:hAnsi="Times New Roman" w:cs="Times New Roman"/>
          <w:sz w:val="28"/>
          <w:szCs w:val="28"/>
          <w:lang w:val="ru-RU"/>
        </w:rPr>
        <w:t xml:space="preserve"> 0013-5380)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4988">
        <w:rPr>
          <w:rFonts w:ascii="Times New Roman" w:hAnsi="Times New Roman" w:cs="Times New Roman"/>
          <w:sz w:val="28"/>
          <w:szCs w:val="28"/>
          <w:lang w:val="ru-RU"/>
        </w:rPr>
        <w:t>Курбацкий В.Г. Мониторинг и оценка режимной надёжности ЭЭС на базе алгоритмов машинного обучения / В.Г. Курбацкий, Н.В. Томин // Сборник докладов 86-ого семинара Методические вопросы исследования надёжности больших систем энергетики, Санкт-Петербург. - 2014. - С. 233-241</w:t>
      </w:r>
    </w:p>
    <w:p w:rsidR="001E7968" w:rsidRPr="0091498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Morison K., Wang L., Kundur P. Power System Security Assessment // IEEE Power &amp; Energy Magazine, Vol. 2, No. 5, Sep.-Oct. 2004, pp. 30 - 39.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L. Wehenkel, Machine Learning Approaches to Power System Security Assessment. Dissertation, University of Liege, 1995</w:t>
      </w:r>
    </w:p>
    <w:p w:rsidR="001E7968" w:rsidRPr="0091498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ru-RU"/>
        </w:rPr>
        <w:t>Панасецкий, Д.А. Совершенствование структуры и алгоритмов противоаварийного управления ЭЭС для предотвращения лавины напряжения и каскадного отключения линий: дис. ... канд. техн. наук: 05.14.02 / Панасецкий Даниил Александрович; Иркутск. ИСЭМ СО РАН, 2015. − 192 с.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988">
        <w:rPr>
          <w:rFonts w:ascii="Times New Roman" w:hAnsi="Times New Roman" w:cs="Times New Roman"/>
          <w:sz w:val="28"/>
          <w:szCs w:val="28"/>
          <w:lang w:val="en-US"/>
        </w:rPr>
        <w:t>Belkacemi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>R., Babalola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A.,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 xml:space="preserve"> Zarrabian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>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>Experimental Implementation of Multi-Agent System Algorithm to Prevent Cascading Failure after N-1-1 Contingency in Smart Grid Systems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14988">
        <w:rPr>
          <w:rFonts w:ascii="Times New Roman" w:hAnsi="Times New Roman" w:cs="Times New Roman"/>
          <w:sz w:val="28"/>
          <w:szCs w:val="28"/>
          <w:lang w:val="en-US"/>
        </w:rPr>
        <w:t xml:space="preserve"> in IEEE Power and Energy Society General Meeting, 2015.</w:t>
      </w:r>
    </w:p>
    <w:p w:rsidR="001E7968" w:rsidRPr="003934D0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t>Negnevitsky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Artificial Intelligence: A Guide to Intelligent Systems, 3rd edn, Addison Wesley, Harlow, England, 2011, 504 p.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t>Negnevitsky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M., Tomin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N., Rehtanz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 xml:space="preserve">Ch. </w:t>
      </w:r>
      <w:r>
        <w:rPr>
          <w:rFonts w:ascii="Times New Roman" w:hAnsi="Times New Roman" w:cs="Times New Roman"/>
          <w:sz w:val="28"/>
          <w:szCs w:val="28"/>
          <w:lang w:val="en-US"/>
        </w:rPr>
        <w:t>Preventing Large-Scale Emergen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cies in Modern Power Systems: AI Approac</w:t>
      </w:r>
      <w:r>
        <w:rPr>
          <w:rFonts w:ascii="Times New Roman" w:hAnsi="Times New Roman" w:cs="Times New Roman"/>
          <w:sz w:val="28"/>
          <w:szCs w:val="28"/>
          <w:lang w:val="en-US"/>
        </w:rPr>
        <w:t>h // Journal of Advanced Computational Intelligence and Intel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ligent Informatics, Vol. 18, No.5, 2014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t>Sun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K., Likhate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S., Vittal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V., Kolluri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V.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S., Mandal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S. An Online Dynamic Security Assessment Scheme Using Phasor Measurements and Decision Trees // IEEE Transactions on Power Systems, vol. 22, no. 4, 2007, pp. 1935-1943.</w:t>
      </w:r>
    </w:p>
    <w:p w:rsidR="001E7968" w:rsidRPr="003934D0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t>Voumvoulakis E.M., Hatziargyriou N.D. Decision Trees-Aided Self-Organized Maps for Corrective Dynamic Security // IEEE Trans. On Power Systems, Vol. 23, No. 2, May 2008, pp. 622 - 630.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t>Tomin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N., Zhukov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A., Sidorov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D., Kurbatsky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V., Panasetsky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D., Spiryaev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V. Random Forest Based Model for Preventing Large-Scale Emergencies in Power Systems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 xml:space="preserve">International Journal of Artificial Intelligence, 2015 Spring (March), Vol. 13, No.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p. 211-228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 w:cs="Times New Roman"/>
          <w:sz w:val="28"/>
          <w:szCs w:val="28"/>
          <w:lang w:val="en-US"/>
        </w:rPr>
        <w:lastRenderedPageBreak/>
        <w:t>Kalyani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S., Shanti Swarup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>Design of pattern recognition system for static security assessment and classification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3934D0">
        <w:rPr>
          <w:rFonts w:ascii="Times New Roman" w:hAnsi="Times New Roman" w:cs="Times New Roman"/>
          <w:sz w:val="28"/>
          <w:szCs w:val="28"/>
          <w:lang w:val="en-US"/>
        </w:rPr>
        <w:t xml:space="preserve"> Pattern Analysis &amp; Applications, vol. 15, Aug. 2012, pp. 299-311,</w:t>
      </w:r>
    </w:p>
    <w:p w:rsidR="001E7968" w:rsidRPr="005D0837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34D0">
        <w:rPr>
          <w:rFonts w:ascii="Times New Roman" w:hAnsi="Times New Roman"/>
          <w:sz w:val="28"/>
          <w:szCs w:val="28"/>
          <w:lang w:val="en-US"/>
        </w:rPr>
        <w:t>Jothinathan K., Ganapathy S. Transient security assessment in power systems using deep neural network // International Journal of Applied Engineering Research Vol. 10, No. 15, Sept. 2012, pp 787-790</w:t>
      </w:r>
    </w:p>
    <w:p w:rsidR="001E7968" w:rsidRPr="005D0837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837">
        <w:rPr>
          <w:rFonts w:ascii="Times New Roman" w:hAnsi="Times New Roman" w:cs="Times New Roman"/>
          <w:sz w:val="28"/>
          <w:szCs w:val="28"/>
          <w:lang w:val="en-US"/>
        </w:rPr>
        <w:t>You M-Y, Ling J, Hao Y-J. Prediction method for network security situation based on elman neural network // Computer science.— 2012.— Vol. 39, no. 6.</w:t>
      </w:r>
    </w:p>
    <w:p w:rsidR="001E7968" w:rsidRPr="005D0837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837">
        <w:rPr>
          <w:rFonts w:ascii="Times New Roman" w:hAnsi="Times New Roman" w:cs="Times New Roman"/>
          <w:sz w:val="28"/>
          <w:szCs w:val="28"/>
          <w:lang w:val="en-US"/>
        </w:rPr>
        <w:t>Niebur Dagmar, Germond Alain J. Power system static security assessment using the Kohonen neural network classifier // Power Systems, IEEE Transactions on.— 1992.— Vol. 7, no. 2.— P. 865–872.</w:t>
      </w:r>
    </w:p>
    <w:p w:rsidR="001E7968" w:rsidRPr="005D0837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0837">
        <w:rPr>
          <w:rFonts w:ascii="Times New Roman" w:hAnsi="Times New Roman" w:cs="Times New Roman"/>
          <w:sz w:val="28"/>
          <w:szCs w:val="28"/>
          <w:lang w:val="en-US"/>
        </w:rPr>
        <w:t>Zhang Yaxing, Jin Shuyuan. Predicting Network Security Situation Based on a Combination Model of Multiple Neural Networks. // International Journal of Software &amp; Informatics.— 2014.— Vol. 8, no. 2.</w:t>
      </w:r>
    </w:p>
    <w:p w:rsidR="001E7968" w:rsidRPr="005D0837" w:rsidRDefault="001E7968" w:rsidP="001E7968">
      <w:pPr>
        <w:pStyle w:val="a9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5D0837">
        <w:rPr>
          <w:rFonts w:ascii="Times New Roman" w:hAnsi="Times New Roman" w:cs="Times New Roman"/>
          <w:sz w:val="28"/>
          <w:szCs w:val="28"/>
          <w:lang w:val="en-US"/>
        </w:rPr>
        <w:t>Breiman Leo. Bagging predictors // Machine learning.— 1996.— Vol. 24, no. 2.— P. 123–140.</w:t>
      </w:r>
    </w:p>
    <w:p w:rsidR="001E7968" w:rsidRPr="003819D0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Воропай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Воропай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Курбацкий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Томин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Панасецкий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ru-RU"/>
        </w:rPr>
        <w:t>Энергетик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, №8, 2016. –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819D0">
        <w:rPr>
          <w:rFonts w:ascii="Times New Roman" w:hAnsi="Times New Roman" w:cs="Times New Roman"/>
          <w:sz w:val="28"/>
          <w:szCs w:val="28"/>
          <w:lang w:val="ru-RU"/>
        </w:rPr>
        <w:t xml:space="preserve">. 3-9. 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1F4">
        <w:rPr>
          <w:rFonts w:ascii="Times New Roman" w:hAnsi="Times New Roman" w:cs="Times New Roman"/>
          <w:sz w:val="28"/>
          <w:szCs w:val="28"/>
          <w:lang w:val="ru-RU"/>
        </w:rPr>
        <w:t>электрическими</w:t>
      </w:r>
      <w:r w:rsidRPr="00980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сетями</w:t>
      </w:r>
      <w:r w:rsidRPr="00980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01F4">
        <w:rPr>
          <w:rFonts w:ascii="Times New Roman" w:hAnsi="Times New Roman" w:cs="Times New Roman"/>
          <w:sz w:val="28"/>
          <w:szCs w:val="28"/>
          <w:lang w:val="ru-RU"/>
        </w:rPr>
        <w:t>мегаполисов</w:t>
      </w:r>
      <w:r w:rsidRPr="00980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0C93">
        <w:rPr>
          <w:rFonts w:ascii="Times New Roman" w:hAnsi="Times New Roman" w:cs="Times New Roman"/>
          <w:sz w:val="28"/>
          <w:szCs w:val="28"/>
          <w:lang w:val="en-US"/>
        </w:rPr>
        <w:t>Rossiter J.A. Model-based predictive control: practical approach. New York, Singapore: CRC Press, 2003. 318 p.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C93">
        <w:rPr>
          <w:rFonts w:ascii="Times New Roman" w:hAnsi="Times New Roman" w:cs="Times New Roman"/>
          <w:sz w:val="28"/>
          <w:szCs w:val="28"/>
          <w:lang w:val="en-US"/>
        </w:rPr>
        <w:t xml:space="preserve">Веремей Е.И., Еремеев В.В., Сотникова М.В. Пособие "Model Predictive Control Toolbox" [Электронный ресурс] – Режим доступа: </w:t>
      </w:r>
      <w:hyperlink r:id="rId20" w:history="1">
        <w:r w:rsidRPr="008C7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http://matlab.exponenta.ru/modelpredict/book1/index.php</w:t>
        </w:r>
      </w:hyperlink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C93">
        <w:rPr>
          <w:rFonts w:ascii="Times New Roman" w:hAnsi="Times New Roman" w:cs="Times New Roman"/>
          <w:sz w:val="28"/>
          <w:szCs w:val="28"/>
          <w:lang w:val="ru-RU"/>
        </w:rPr>
        <w:t>Кабанов А. Управление системами на прогнозирующих моделях. - СПб., Изд-во СПб. ун-та, 1997.</w:t>
      </w:r>
    </w:p>
    <w:p w:rsidR="001E7968" w:rsidRPr="009801F4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1F4">
        <w:rPr>
          <w:rFonts w:ascii="Times New Roman" w:hAnsi="Times New Roman" w:cs="Times New Roman"/>
          <w:sz w:val="28"/>
          <w:szCs w:val="28"/>
          <w:lang w:val="en-US"/>
        </w:rPr>
        <w:t>Quinlan J. R. C4.5: Programs for Machine Learning. — San Mateo: Morgan Kaufmann Publishers Inc., 1993. — 302 p.</w:t>
      </w:r>
    </w:p>
    <w:p w:rsidR="001E7968" w:rsidRPr="004C0C93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C93">
        <w:rPr>
          <w:rFonts w:ascii="Times New Roman" w:hAnsi="Times New Roman" w:cs="Times New Roman"/>
          <w:sz w:val="28"/>
          <w:szCs w:val="28"/>
          <w:lang w:val="en-US"/>
        </w:rPr>
        <w:t>S. Sastry. Nonlinear systems: analysis, stability, and control. Springer. 1999.</w:t>
      </w:r>
    </w:p>
    <w:p w:rsidR="001E7968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C93">
        <w:rPr>
          <w:rFonts w:ascii="Times New Roman" w:hAnsi="Times New Roman" w:cs="Times New Roman"/>
          <w:sz w:val="28"/>
          <w:szCs w:val="28"/>
          <w:lang w:val="en-US"/>
        </w:rPr>
        <w:t xml:space="preserve">Sidorov D. On Impulsive Control of Nonlinear Dynamical Systems based on the Volterra Series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C0C93">
        <w:rPr>
          <w:rFonts w:ascii="Times New Roman" w:hAnsi="Times New Roman" w:cs="Times New Roman"/>
          <w:sz w:val="28"/>
          <w:szCs w:val="28"/>
          <w:lang w:val="en-US"/>
        </w:rPr>
        <w:t xml:space="preserve"> IEEE Proceedings of EEEIC Conference, Rome, 2011. IEEE Catalog Number: CFP1151I-ART.</w:t>
      </w:r>
    </w:p>
    <w:p w:rsidR="001E7968" w:rsidRPr="004C0C93" w:rsidRDefault="001E7968" w:rsidP="001E7968">
      <w:pPr>
        <w:pStyle w:val="a9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C93">
        <w:rPr>
          <w:rFonts w:ascii="Times New Roman" w:hAnsi="Times New Roman" w:cs="Times New Roman"/>
          <w:sz w:val="28"/>
          <w:szCs w:val="28"/>
          <w:lang w:val="en-US"/>
        </w:rPr>
        <w:t>Lili L., Xiaorong X.,  Jianfeng Y., Yingduo H. Fast Online Identification of the Dominant Parameters of Composite Load Model Using Volterra Model and Pattern Classification // IEEE Power Engineering Society General Meeting, 2007, DOI 10.1109/PES.2007.385736.</w:t>
      </w:r>
    </w:p>
    <w:p w:rsidR="001E7968" w:rsidRPr="003934D0" w:rsidRDefault="001E7968" w:rsidP="001E7968">
      <w:pPr>
        <w:pStyle w:val="a9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7968" w:rsidRPr="006127D2" w:rsidRDefault="001E7968" w:rsidP="001E7968">
      <w:pPr>
        <w:ind w:left="426" w:hanging="426"/>
        <w:rPr>
          <w:rFonts w:ascii="Times New Roman" w:hAnsi="Times New Roman"/>
          <w:sz w:val="28"/>
          <w:szCs w:val="28"/>
          <w:lang w:val="en-US"/>
        </w:rPr>
      </w:pPr>
    </w:p>
    <w:p w:rsidR="00511B04" w:rsidRPr="001E7968" w:rsidRDefault="00511B04" w:rsidP="001E7968">
      <w:pPr>
        <w:rPr>
          <w:rFonts w:ascii="Times New Roman" w:hAnsi="Times New Roman"/>
          <w:sz w:val="28"/>
          <w:szCs w:val="28"/>
          <w:lang w:val="en-US"/>
        </w:rPr>
      </w:pPr>
    </w:p>
    <w:sectPr w:rsidR="00511B04" w:rsidRPr="001E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F5" w:rsidRDefault="000121F5" w:rsidP="0006779C">
      <w:pPr>
        <w:spacing w:after="0" w:line="240" w:lineRule="auto"/>
      </w:pPr>
      <w:r>
        <w:separator/>
      </w:r>
    </w:p>
  </w:endnote>
  <w:endnote w:type="continuationSeparator" w:id="0">
    <w:p w:rsidR="000121F5" w:rsidRDefault="000121F5" w:rsidP="0006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F5" w:rsidRDefault="000121F5" w:rsidP="0006779C">
      <w:pPr>
        <w:spacing w:after="0" w:line="240" w:lineRule="auto"/>
      </w:pPr>
      <w:r>
        <w:separator/>
      </w:r>
    </w:p>
  </w:footnote>
  <w:footnote w:type="continuationSeparator" w:id="0">
    <w:p w:rsidR="000121F5" w:rsidRDefault="000121F5" w:rsidP="0006779C">
      <w:pPr>
        <w:spacing w:after="0" w:line="240" w:lineRule="auto"/>
      </w:pPr>
      <w:r>
        <w:continuationSeparator/>
      </w:r>
    </w:p>
  </w:footnote>
  <w:footnote w:id="1">
    <w:p w:rsidR="0006779C" w:rsidRPr="00420043" w:rsidRDefault="0006779C" w:rsidP="0006779C">
      <w:pPr>
        <w:pStyle w:val="a4"/>
        <w:jc w:val="both"/>
        <w:rPr>
          <w:rFonts w:ascii="Times New Roman" w:hAnsi="Times New Roman"/>
        </w:rPr>
      </w:pPr>
      <w:r w:rsidRPr="00420043">
        <w:rPr>
          <w:rStyle w:val="a6"/>
          <w:rFonts w:ascii="Times New Roman" w:hAnsi="Times New Roman"/>
        </w:rPr>
        <w:footnoteRef/>
      </w:r>
      <w:r w:rsidRPr="00420043">
        <w:rPr>
          <w:rFonts w:ascii="Times New Roman" w:hAnsi="Times New Roman"/>
        </w:rPr>
        <w:t xml:space="preserve"> Жадный алгоритм (англ. </w:t>
      </w:r>
      <w:proofErr w:type="spellStart"/>
      <w:r w:rsidRPr="00420043">
        <w:rPr>
          <w:rFonts w:ascii="Times New Roman" w:hAnsi="Times New Roman"/>
        </w:rPr>
        <w:t>Greedyalgorithm</w:t>
      </w:r>
      <w:proofErr w:type="spellEnd"/>
      <w:r w:rsidRPr="00420043">
        <w:rPr>
          <w:rFonts w:ascii="Times New Roman" w:hAnsi="Times New Roman"/>
        </w:rPr>
        <w:t>) — алгоритм, заключающийся в принятии локально оптимальных решений на каждом этапе, допуская, что конечное решение также окажется оптимальным [</w:t>
      </w:r>
      <w:r w:rsidRPr="007E30A4">
        <w:rPr>
          <w:rFonts w:ascii="Times New Roman" w:hAnsi="Times New Roman"/>
        </w:rPr>
        <w:t>24</w:t>
      </w:r>
      <w:r w:rsidRPr="00420043">
        <w:rPr>
          <w:rFonts w:ascii="Times New Roman" w:hAnsi="Times New Roman"/>
        </w:rPr>
        <w:t>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CE4"/>
    <w:multiLevelType w:val="hybridMultilevel"/>
    <w:tmpl w:val="67F82110"/>
    <w:lvl w:ilvl="0" w:tplc="60A2C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586112"/>
    <w:multiLevelType w:val="hybridMultilevel"/>
    <w:tmpl w:val="768C3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77A06AF"/>
    <w:multiLevelType w:val="hybridMultilevel"/>
    <w:tmpl w:val="1BEE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9C"/>
    <w:rsid w:val="000121F5"/>
    <w:rsid w:val="0006779C"/>
    <w:rsid w:val="00137BED"/>
    <w:rsid w:val="00190999"/>
    <w:rsid w:val="001E7968"/>
    <w:rsid w:val="002A260C"/>
    <w:rsid w:val="003A2FE7"/>
    <w:rsid w:val="00511B04"/>
    <w:rsid w:val="00803C87"/>
    <w:rsid w:val="00E12B0B"/>
    <w:rsid w:val="00F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779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79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6779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9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9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7968"/>
    <w:pPr>
      <w:ind w:left="720"/>
      <w:contextualSpacing/>
    </w:pPr>
    <w:rPr>
      <w:rFonts w:asciiTheme="minorHAnsi" w:eastAsiaTheme="minorEastAsia" w:hAnsiTheme="minorHAnsi" w:cstheme="minorBidi"/>
      <w:lang w:val="en-AU" w:eastAsia="en-AU"/>
    </w:rPr>
  </w:style>
  <w:style w:type="character" w:styleId="aa">
    <w:name w:val="Hyperlink"/>
    <w:basedOn w:val="a0"/>
    <w:uiPriority w:val="99"/>
    <w:unhideWhenUsed/>
    <w:rsid w:val="001E79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7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6779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779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6779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9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9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7968"/>
    <w:pPr>
      <w:ind w:left="720"/>
      <w:contextualSpacing/>
    </w:pPr>
    <w:rPr>
      <w:rFonts w:asciiTheme="minorHAnsi" w:eastAsiaTheme="minorEastAsia" w:hAnsiTheme="minorHAnsi" w:cstheme="minorBidi"/>
      <w:lang w:val="en-AU" w:eastAsia="en-AU"/>
    </w:rPr>
  </w:style>
  <w:style w:type="character" w:styleId="aa">
    <w:name w:val="Hyperlink"/>
    <w:basedOn w:val="a0"/>
    <w:uiPriority w:val="99"/>
    <w:unhideWhenUsed/>
    <w:rsid w:val="001E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222.vsdx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://matlab.exponenta.ru/modelpredict/book1/index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11.vsdx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K_Goroshkin</cp:lastModifiedBy>
  <cp:revision>2</cp:revision>
  <dcterms:created xsi:type="dcterms:W3CDTF">2016-12-28T09:58:00Z</dcterms:created>
  <dcterms:modified xsi:type="dcterms:W3CDTF">2016-12-28T09:58:00Z</dcterms:modified>
</cp:coreProperties>
</file>