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C5" w:rsidRDefault="00BC1C93" w:rsidP="00AA475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A4756">
        <w:rPr>
          <w:b/>
        </w:rPr>
        <w:t>5.5. Новые свойства будущих электроэнергетических систем</w:t>
      </w:r>
    </w:p>
    <w:p w:rsidR="00690F29" w:rsidRDefault="00690F29" w:rsidP="00AA4756">
      <w:pPr>
        <w:spacing w:after="0" w:line="240" w:lineRule="auto"/>
        <w:jc w:val="center"/>
        <w:rPr>
          <w:b/>
        </w:rPr>
      </w:pPr>
    </w:p>
    <w:p w:rsidR="00690F29" w:rsidRDefault="00690F29" w:rsidP="00AA4756">
      <w:pPr>
        <w:spacing w:after="0" w:line="240" w:lineRule="auto"/>
        <w:jc w:val="center"/>
      </w:pPr>
      <w:proofErr w:type="spellStart"/>
      <w:r>
        <w:t>Воропай</w:t>
      </w:r>
      <w:proofErr w:type="spellEnd"/>
      <w:r>
        <w:t xml:space="preserve"> Н.И., Осак А.Б.</w:t>
      </w:r>
    </w:p>
    <w:p w:rsidR="00690F29" w:rsidRPr="00690F29" w:rsidRDefault="00690F29" w:rsidP="00AA4756">
      <w:pPr>
        <w:spacing w:after="0" w:line="240" w:lineRule="auto"/>
        <w:jc w:val="center"/>
      </w:pPr>
      <w:r>
        <w:t>ИСЭМ СО РАН</w:t>
      </w:r>
    </w:p>
    <w:p w:rsidR="00AD38C5" w:rsidRPr="00D55599" w:rsidRDefault="00AD38C5" w:rsidP="00194E2B">
      <w:pPr>
        <w:spacing w:after="0" w:line="240" w:lineRule="auto"/>
        <w:ind w:firstLine="567"/>
        <w:jc w:val="both"/>
      </w:pPr>
    </w:p>
    <w:p w:rsidR="00AD38C5" w:rsidRDefault="00AD38C5" w:rsidP="00194E2B">
      <w:pPr>
        <w:spacing w:after="0" w:line="240" w:lineRule="auto"/>
        <w:ind w:firstLine="567"/>
        <w:jc w:val="both"/>
      </w:pPr>
      <w:r>
        <w:t>Закономерности изменения условий</w:t>
      </w:r>
      <w:r w:rsidR="001426FE">
        <w:t xml:space="preserve"> развития</w:t>
      </w:r>
      <w:r>
        <w:t xml:space="preserve"> и функционирования эле</w:t>
      </w:r>
      <w:r>
        <w:t>к</w:t>
      </w:r>
      <w:r>
        <w:t>троэнергетических систем (ЭЭС) приводят к существенным трансформациям в структуре систем и режимах их работы. Эти трансформации обусловлены рядом объективных факторов, которые определяют облик ЭЭС будущего.</w:t>
      </w:r>
    </w:p>
    <w:p w:rsidR="00AD38C5" w:rsidRDefault="00AD38C5" w:rsidP="00194E2B">
      <w:pPr>
        <w:spacing w:after="0" w:line="240" w:lineRule="auto"/>
        <w:ind w:firstLine="567"/>
        <w:jc w:val="both"/>
      </w:pPr>
      <w:r>
        <w:t>Продолжаются у</w:t>
      </w:r>
      <w:r w:rsidR="009E4455">
        <w:t>величение масштабов ЭЭС, расширение обслужива</w:t>
      </w:r>
      <w:r w:rsidR="009E4455">
        <w:t>е</w:t>
      </w:r>
      <w:r w:rsidR="009E4455">
        <w:t>мых ими территорий, объединение для с</w:t>
      </w:r>
      <w:r w:rsidR="006036DA">
        <w:t>о</w:t>
      </w:r>
      <w:r w:rsidR="009E4455">
        <w:t>вместной работы различных ЭЭС с формированием межрегиональных, межгосударственных и межконтине</w:t>
      </w:r>
      <w:r w:rsidR="009E4455">
        <w:t>н</w:t>
      </w:r>
      <w:r w:rsidR="00BC1C93">
        <w:t>тальных</w:t>
      </w:r>
      <w:r w:rsidR="009E4455">
        <w:t xml:space="preserve"> </w:t>
      </w:r>
      <w:proofErr w:type="spellStart"/>
      <w:r w:rsidR="009E4455">
        <w:t>энергообъединений</w:t>
      </w:r>
      <w:proofErr w:type="spellEnd"/>
      <w:r w:rsidR="009E4455">
        <w:t>.</w:t>
      </w:r>
    </w:p>
    <w:p w:rsidR="009E4455" w:rsidRDefault="006036DA" w:rsidP="00194E2B">
      <w:pPr>
        <w:spacing w:after="0" w:line="240" w:lineRule="auto"/>
        <w:ind w:firstLine="567"/>
        <w:jc w:val="both"/>
      </w:pPr>
      <w:r>
        <w:t>Продолжается развитие агломераций вокруг крупных городов, обусло</w:t>
      </w:r>
      <w:r>
        <w:t>в</w:t>
      </w:r>
      <w:r>
        <w:t>лены формированием в них центров государственного и хозяйственного управления, сосредоточение в них высокотехнологических производств, ф</w:t>
      </w:r>
      <w:r>
        <w:t>и</w:t>
      </w:r>
      <w:r>
        <w:t xml:space="preserve">нансовых ресурсов, креативных групп населения, научно-образовательного кластера. Одновременно с этим продолжается тенденция </w:t>
      </w:r>
      <w:proofErr w:type="spellStart"/>
      <w:r>
        <w:t>деурбанизации</w:t>
      </w:r>
      <w:proofErr w:type="spellEnd"/>
      <w:r>
        <w:t xml:space="preserve"> г</w:t>
      </w:r>
      <w:r>
        <w:t>о</w:t>
      </w:r>
      <w:r>
        <w:t>родских поселений, включая вынос за пределы городской застройки пр</w:t>
      </w:r>
      <w:r>
        <w:t>о</w:t>
      </w:r>
      <w:r>
        <w:t>мышленного производства</w:t>
      </w:r>
      <w:r w:rsidR="00B8744F">
        <w:t xml:space="preserve"> и развитие индивидуального малоэтажного стро</w:t>
      </w:r>
      <w:r w:rsidR="00B8744F">
        <w:t>и</w:t>
      </w:r>
      <w:r w:rsidR="00B8744F">
        <w:t>тельства. В дополнение к предыдущему будет продолжаться повышение ст</w:t>
      </w:r>
      <w:r w:rsidR="00B8744F">
        <w:t>а</w:t>
      </w:r>
      <w:r w:rsidR="00B8744F">
        <w:t xml:space="preserve">туса и жизненного уровня в средних и небольших городах. Все это приведет ко все большему рассредоточению электропотребления по территории при глубокой электрификации промышленности и быта для обеспечения роста качества жизни и производительности труда </w:t>
      </w:r>
      <w:r w:rsidR="00B8744F" w:rsidRPr="00B8744F">
        <w:t>[1, 2]</w:t>
      </w:r>
      <w:r w:rsidR="00B8744F">
        <w:t>.</w:t>
      </w:r>
    </w:p>
    <w:p w:rsidR="00B8744F" w:rsidRDefault="00B8744F" w:rsidP="00194E2B">
      <w:pPr>
        <w:spacing w:after="0" w:line="240" w:lineRule="auto"/>
        <w:ind w:firstLine="567"/>
        <w:jc w:val="both"/>
      </w:pPr>
      <w:r>
        <w:t>Тенденция децентрализации электроснабжения развивается и со стор</w:t>
      </w:r>
      <w:r>
        <w:t>о</w:t>
      </w:r>
      <w:r>
        <w:t>ны генерации электроэнергии в связи с расширением использования исто</w:t>
      </w:r>
      <w:r>
        <w:t>ч</w:t>
      </w:r>
      <w:r>
        <w:t xml:space="preserve">ников распределенной генерации, подключаемых к узлам распределительной </w:t>
      </w:r>
      <w:r w:rsidR="00547FCC">
        <w:t>электрической сети. Эта тенденция обусловлена появлением новых высок</w:t>
      </w:r>
      <w:r w:rsidR="00547FCC">
        <w:t>о</w:t>
      </w:r>
      <w:r w:rsidR="00547FCC">
        <w:t>эффективных технологий производства</w:t>
      </w:r>
      <w:r w:rsidR="0053312C">
        <w:t xml:space="preserve"> электроэнергии, гибко адаптиру</w:t>
      </w:r>
      <w:r w:rsidR="0053312C">
        <w:t>ю</w:t>
      </w:r>
      <w:r w:rsidR="0053312C">
        <w:t>щих ЭЭС к неопределенности спроса на электроэнергию. Свой вклад в ра</w:t>
      </w:r>
      <w:r w:rsidR="0053312C">
        <w:t>с</w:t>
      </w:r>
      <w:r w:rsidR="0053312C">
        <w:t>пределенную генерацию вносят источники электроэнергии, использующие возобновляемые энергетические ресурсы.</w:t>
      </w:r>
    </w:p>
    <w:p w:rsidR="0053312C" w:rsidRDefault="0053312C" w:rsidP="00194E2B">
      <w:pPr>
        <w:spacing w:after="0" w:line="240" w:lineRule="auto"/>
        <w:ind w:firstLine="567"/>
        <w:jc w:val="both"/>
      </w:pPr>
      <w:r>
        <w:t>Новые высокоэффективные технологии получа</w:t>
      </w:r>
      <w:r w:rsidR="001426FE">
        <w:t>ю</w:t>
      </w:r>
      <w:r>
        <w:t>т все большее испол</w:t>
      </w:r>
      <w:r>
        <w:t>ь</w:t>
      </w:r>
      <w:r>
        <w:t>зование и для крупных источников электроэнергии. Реально струк</w:t>
      </w:r>
      <w:r w:rsidR="00C31EAC">
        <w:t>тура ген</w:t>
      </w:r>
      <w:r w:rsidR="00C31EAC">
        <w:t>е</w:t>
      </w:r>
      <w:r w:rsidR="00C31EAC">
        <w:t>рации будущих ЭЭС должна включать относительно крупные генерирующие источники для снабжения электроэнергией крупных электроемких потреб</w:t>
      </w:r>
      <w:r w:rsidR="00C31EAC">
        <w:t>и</w:t>
      </w:r>
      <w:r w:rsidR="00C31EAC">
        <w:t>телей и достаточно высок</w:t>
      </w:r>
      <w:r w:rsidR="001426FE">
        <w:t>ую</w:t>
      </w:r>
      <w:r w:rsidR="00C31EAC">
        <w:t xml:space="preserve"> дол</w:t>
      </w:r>
      <w:r w:rsidR="001426FE">
        <w:t>ю</w:t>
      </w:r>
      <w:r w:rsidR="00C31EAC">
        <w:t xml:space="preserve"> распределенной генерации электроэне</w:t>
      </w:r>
      <w:r w:rsidR="00C31EAC">
        <w:t>р</w:t>
      </w:r>
      <w:r w:rsidR="00C31EAC">
        <w:t>гии.</w:t>
      </w:r>
    </w:p>
    <w:p w:rsidR="00830F0F" w:rsidRDefault="00830F0F" w:rsidP="00194E2B">
      <w:pPr>
        <w:spacing w:after="0" w:line="240" w:lineRule="auto"/>
        <w:ind w:firstLine="567"/>
        <w:jc w:val="both"/>
      </w:pPr>
      <w:r>
        <w:t>Широкое распространение в ЭЭС установок распределенной генерации порождает несколько особенностей. Многие малые генерирующие устано</w:t>
      </w:r>
      <w:r>
        <w:t>в</w:t>
      </w:r>
      <w:r>
        <w:t>ки, использующие газотурбинные технологии, работают на более высокой по сравнению с промышленной частоте и подключаются к системе через в</w:t>
      </w:r>
      <w:r>
        <w:t>ы</w:t>
      </w:r>
      <w:r>
        <w:t xml:space="preserve">прямительно-инверторные блоки. Аналогичное подключение имеют </w:t>
      </w:r>
      <w:proofErr w:type="spellStart"/>
      <w:r>
        <w:t>ветроа</w:t>
      </w:r>
      <w:r>
        <w:t>г</w:t>
      </w:r>
      <w:r>
        <w:t>регаты</w:t>
      </w:r>
      <w:proofErr w:type="spellEnd"/>
      <w:r>
        <w:t xml:space="preserve">, отличающиеся к тому же стохастическим характером генерируемой мощности. В результате существенно изменяются частотные характеристики генерации в ЭЭС, снижается регулирующий эффект генерации по частоте. </w:t>
      </w:r>
      <w:r>
        <w:lastRenderedPageBreak/>
        <w:t>Установки распределенной генерации имеют малые по сравнению с трад</w:t>
      </w:r>
      <w:r>
        <w:t>и</w:t>
      </w:r>
      <w:r>
        <w:t>ционными генераторами большой мощности</w:t>
      </w:r>
      <w:r w:rsidR="004D7AB1">
        <w:t xml:space="preserve"> постоянные инерции ротора и упрощенные системы регулирования, что создает проблемы с обеспечением устойчивости ЭЭС. Подключение установок распределенной генерации к распределительной электрической сети радикально изменяет ее свойства, с</w:t>
      </w:r>
      <w:r w:rsidR="004D7AB1">
        <w:t>о</w:t>
      </w:r>
      <w:r w:rsidR="004D7AB1">
        <w:t>здавая проблемы устойчивости, формируя необходимость существенного развития и принципиальной реконструкции систем релейной защиты и авт</w:t>
      </w:r>
      <w:r w:rsidR="004D7AB1">
        <w:t>о</w:t>
      </w:r>
      <w:r w:rsidR="004D7AB1">
        <w:t>матики</w:t>
      </w:r>
      <w:r w:rsidR="008F53A2">
        <w:t xml:space="preserve"> на этом уровне.</w:t>
      </w:r>
    </w:p>
    <w:p w:rsidR="00397F3E" w:rsidRDefault="00397F3E" w:rsidP="00194E2B">
      <w:pPr>
        <w:spacing w:after="0" w:line="240" w:lineRule="auto"/>
        <w:ind w:firstLine="567"/>
        <w:jc w:val="both"/>
      </w:pPr>
      <w:r>
        <w:t>В связи с тенденциями развития</w:t>
      </w:r>
      <w:r w:rsidR="001426FE">
        <w:t xml:space="preserve"> и размещения</w:t>
      </w:r>
      <w:r>
        <w:t xml:space="preserve"> генерации и </w:t>
      </w:r>
      <w:r w:rsidR="001426FE">
        <w:t>потребления электроэнергии</w:t>
      </w:r>
      <w:r>
        <w:t xml:space="preserve"> существенно изменится в будущем и электрическая сеть. С учетом новых технологий в преобразовательной технике на основе силовой электроники, снижения стоимости, повышения надежности и обеспечения высокой управляемости электропередач постоянного тока они получат сущ</w:t>
      </w:r>
      <w:r>
        <w:t>е</w:t>
      </w:r>
      <w:r>
        <w:t>ственное развитие в передающей электрической сети.</w:t>
      </w:r>
      <w:r w:rsidR="0007152D">
        <w:t xml:space="preserve"> Одновременно шир</w:t>
      </w:r>
      <w:r w:rsidR="0007152D">
        <w:t>о</w:t>
      </w:r>
      <w:r w:rsidR="0007152D">
        <w:t>кое использование устройств, формирующих на основе использования сил</w:t>
      </w:r>
      <w:r w:rsidR="0007152D">
        <w:t>о</w:t>
      </w:r>
      <w:r w:rsidR="0007152D">
        <w:t>вой электроники гибкие электропередачи переменного тока (</w:t>
      </w:r>
      <w:r w:rsidR="0007152D">
        <w:rPr>
          <w:lang w:val="en-US"/>
        </w:rPr>
        <w:t>FACTS</w:t>
      </w:r>
      <w:r w:rsidR="0007152D">
        <w:t>)</w:t>
      </w:r>
      <w:r w:rsidR="001426FE">
        <w:t>,</w:t>
      </w:r>
      <w:r w:rsidR="000314C4">
        <w:t xml:space="preserve"> рад</w:t>
      </w:r>
      <w:r w:rsidR="000314C4">
        <w:t>и</w:t>
      </w:r>
      <w:r w:rsidR="000314C4">
        <w:t>кальным образом повысит управляемость передающей сети переменного т</w:t>
      </w:r>
      <w:r w:rsidR="000314C4">
        <w:t>о</w:t>
      </w:r>
      <w:r w:rsidR="000314C4">
        <w:t xml:space="preserve">ка </w:t>
      </w:r>
      <w:r w:rsidR="000314C4" w:rsidRPr="000314C4">
        <w:t>[3]</w:t>
      </w:r>
      <w:r w:rsidR="000314C4">
        <w:t xml:space="preserve">. Новые технологии, включая использование устройств </w:t>
      </w:r>
      <w:r w:rsidR="000314C4">
        <w:rPr>
          <w:lang w:val="en-US"/>
        </w:rPr>
        <w:t>FACTS</w:t>
      </w:r>
      <w:r w:rsidR="000314C4">
        <w:t>, сущ</w:t>
      </w:r>
      <w:r w:rsidR="000314C4">
        <w:t>е</w:t>
      </w:r>
      <w:r w:rsidR="000314C4">
        <w:t>ственно повысят надежность и управляемость распределительной электрич</w:t>
      </w:r>
      <w:r w:rsidR="000314C4">
        <w:t>е</w:t>
      </w:r>
      <w:r w:rsidR="000314C4">
        <w:t>ской сети.</w:t>
      </w:r>
    </w:p>
    <w:p w:rsidR="001426FE" w:rsidRDefault="000314C4" w:rsidP="001426FE">
      <w:pPr>
        <w:spacing w:after="0" w:line="240" w:lineRule="auto"/>
        <w:ind w:firstLine="567"/>
        <w:jc w:val="both"/>
      </w:pPr>
      <w:r>
        <w:t>Рост электропотребления при рассредоточении</w:t>
      </w:r>
      <w:r w:rsidR="001426FE">
        <w:t xml:space="preserve"> </w:t>
      </w:r>
      <w:r w:rsidR="001C4A8A">
        <w:t>генерирующих источн</w:t>
      </w:r>
      <w:r w:rsidR="001C4A8A">
        <w:t>и</w:t>
      </w:r>
      <w:r w:rsidR="001C4A8A">
        <w:t>ков и потребителей по территории приводит к увеличению плотности пер</w:t>
      </w:r>
      <w:r w:rsidR="001C4A8A">
        <w:t>е</w:t>
      </w:r>
      <w:r w:rsidR="001C4A8A">
        <w:t>дающих и распределительных электрических сетей.</w:t>
      </w:r>
      <w:r w:rsidR="001426FE">
        <w:t xml:space="preserve"> В целом с учетом ук</w:t>
      </w:r>
      <w:r w:rsidR="001426FE">
        <w:t>а</w:t>
      </w:r>
      <w:r w:rsidR="001426FE">
        <w:t>занных факторов электроэнергетические системы будущего все в большей мере будут приобретать функции и свойства инфраструктурных систем (св</w:t>
      </w:r>
      <w:r w:rsidR="001426FE">
        <w:t>о</w:t>
      </w:r>
      <w:r w:rsidR="001426FE">
        <w:t>его рода «электрического интернета»), которые теоретически будут в состо</w:t>
      </w:r>
      <w:r w:rsidR="001426FE">
        <w:t>я</w:t>
      </w:r>
      <w:r w:rsidR="001426FE">
        <w:t>нии предоставлять потребителю электроэнергию в требуемом месте, необх</w:t>
      </w:r>
      <w:r w:rsidR="001426FE">
        <w:t>о</w:t>
      </w:r>
      <w:r w:rsidR="001426FE">
        <w:t>димых качества и надежности электроснабжения и по приемлемой цене.</w:t>
      </w:r>
    </w:p>
    <w:p w:rsidR="001C4A8A" w:rsidRDefault="001C4A8A" w:rsidP="00194E2B">
      <w:pPr>
        <w:spacing w:after="0" w:line="240" w:lineRule="auto"/>
        <w:ind w:firstLine="567"/>
        <w:jc w:val="both"/>
      </w:pPr>
      <w:r>
        <w:t xml:space="preserve">Наблюдается тенденция роста доли новых </w:t>
      </w:r>
      <w:proofErr w:type="spellStart"/>
      <w:r>
        <w:t>электроприемников</w:t>
      </w:r>
      <w:proofErr w:type="spellEnd"/>
      <w:r>
        <w:t xml:space="preserve"> с новыми нагрузочными характеристиками. К таким </w:t>
      </w:r>
      <w:proofErr w:type="spellStart"/>
      <w:r>
        <w:t>электроприемникам</w:t>
      </w:r>
      <w:proofErr w:type="spellEnd"/>
      <w:r>
        <w:t xml:space="preserve"> относятся все электроустановки, запитанные через современные блоки питания − выпрям</w:t>
      </w:r>
      <w:r>
        <w:t>и</w:t>
      </w:r>
      <w:r>
        <w:t>тели плюс стабилизаторы и выпрямители плюс инверторы. Это частотно-регулируемый электропривод, вся компьютерная, офисная и бытовая техника с импульсными источниками питания, светодиодное освещение и т.п. Отл</w:t>
      </w:r>
      <w:r>
        <w:t>и</w:t>
      </w:r>
      <w:r>
        <w:t xml:space="preserve">чительной их особенностью является неизменная величина </w:t>
      </w:r>
      <w:r w:rsidR="005A2D52">
        <w:t>потребляемой а</w:t>
      </w:r>
      <w:r w:rsidR="005A2D52">
        <w:t>к</w:t>
      </w:r>
      <w:r w:rsidR="005A2D52">
        <w:t xml:space="preserve">тивной мощности при изменении в широком диапазоне величины и частоты напряжения в питающей сети (некоторые </w:t>
      </w:r>
      <w:proofErr w:type="spellStart"/>
      <w:r w:rsidR="005A2D52">
        <w:t>электроприемники</w:t>
      </w:r>
      <w:proofErr w:type="spellEnd"/>
      <w:r w:rsidR="005A2D52">
        <w:t xml:space="preserve"> обеспечи</w:t>
      </w:r>
      <w:r w:rsidR="00A9400F">
        <w:t>вают неизменность нагрузки даже при снижении уровня напряжения до 30 % от номинального). Если традиционные потребители при снижении величины питающего напряжения снижают свое потребление, тем самым обеспечивая регулирующий эффект нагрузки, то новые потребители при снижении вел</w:t>
      </w:r>
      <w:r w:rsidR="00A9400F">
        <w:t>и</w:t>
      </w:r>
      <w:r w:rsidR="00A9400F">
        <w:t>чины питающего напряжения увеличивают потребляемый ток при сохран</w:t>
      </w:r>
      <w:r w:rsidR="00A9400F">
        <w:t>е</w:t>
      </w:r>
      <w:r w:rsidR="00A9400F">
        <w:t xml:space="preserve">нии неизменной активной мощности, а с учетом потерь в распределительной электрической сети это приводит к росту активной и реактивной мощности </w:t>
      </w:r>
      <w:r w:rsidR="00A9400F">
        <w:lastRenderedPageBreak/>
        <w:t xml:space="preserve">нагрузки. Соответственно, при  росте общей доли новых </w:t>
      </w:r>
      <w:proofErr w:type="spellStart"/>
      <w:r w:rsidR="00A9400F">
        <w:t>электроприемников</w:t>
      </w:r>
      <w:proofErr w:type="spellEnd"/>
      <w:r w:rsidR="00A9400F">
        <w:t xml:space="preserve"> будет снижаться регулирующий эффект  нагрузки по напряжению в ЭЭС.</w:t>
      </w:r>
    </w:p>
    <w:p w:rsidR="004E656E" w:rsidRDefault="004E656E" w:rsidP="00194E2B">
      <w:pPr>
        <w:spacing w:after="0" w:line="240" w:lineRule="auto"/>
        <w:ind w:firstLine="567"/>
        <w:jc w:val="both"/>
      </w:pPr>
      <w:r>
        <w:t>Ситуация усугубляется широким применением современных устройств регулирования под нагрузкой (РПН) трансформаторов, в том числе в распр</w:t>
      </w:r>
      <w:r>
        <w:t>е</w:t>
      </w:r>
      <w:r>
        <w:t>делительной электрической сети, в результате чего уровни напряжения на шинах потребителей становятся относительно стабильными и соответствуют нормативным требованиям, но при аварийных условиях в магистральных и распределительных электрических сетях вместо снижения напряжения на шинах потребителей (и, как следствие, снижения активной и реактивной нагрузки) имеет место неизменность нагрузки, увеличение потерь в сети и существенный рост потребляемой из питающей электрической сети реакти</w:t>
      </w:r>
      <w:r>
        <w:t>в</w:t>
      </w:r>
      <w:r>
        <w:t>ной мощности.</w:t>
      </w:r>
    </w:p>
    <w:p w:rsidR="004E3F17" w:rsidRDefault="004E3F17" w:rsidP="00194E2B">
      <w:pPr>
        <w:spacing w:after="0" w:line="240" w:lineRule="auto"/>
        <w:ind w:firstLine="567"/>
        <w:jc w:val="both"/>
      </w:pPr>
      <w:r>
        <w:t xml:space="preserve">Еще одной проблемой является то, что все большее число </w:t>
      </w:r>
      <w:proofErr w:type="spellStart"/>
      <w:r>
        <w:t>электропр</w:t>
      </w:r>
      <w:r>
        <w:t>и</w:t>
      </w:r>
      <w:r>
        <w:t>емников</w:t>
      </w:r>
      <w:proofErr w:type="spellEnd"/>
      <w:r>
        <w:t xml:space="preserve"> сохраняют неизменной потребляемую мощность при изменении ч</w:t>
      </w:r>
      <w:r>
        <w:t>а</w:t>
      </w:r>
      <w:r>
        <w:t xml:space="preserve">стоты в питающей сети. К таким </w:t>
      </w:r>
      <w:proofErr w:type="spellStart"/>
      <w:r>
        <w:t>электроприемникам</w:t>
      </w:r>
      <w:proofErr w:type="spellEnd"/>
      <w:r>
        <w:t xml:space="preserve"> относятся не только упомянутые </w:t>
      </w:r>
      <w:r w:rsidR="00F17DD7">
        <w:t xml:space="preserve">выше новые потребители, но и большинство нагревательных элементов, используемых для </w:t>
      </w:r>
      <w:proofErr w:type="spellStart"/>
      <w:r w:rsidR="00F17DD7">
        <w:t>электроотопления</w:t>
      </w:r>
      <w:proofErr w:type="spellEnd"/>
      <w:r w:rsidR="00F17DD7">
        <w:t>. При этом снижается как суммарная мощность, так и общая доля нагрузки, напрямую подключенной к электрической сети переменного тока (без частотных преобразователей), к</w:t>
      </w:r>
      <w:r w:rsidR="00F17DD7">
        <w:t>о</w:t>
      </w:r>
      <w:r w:rsidR="00F17DD7">
        <w:t>торая обеспечивала бы регулирующий эффект нагрузки по частоте для всей ЭЭС.</w:t>
      </w:r>
    </w:p>
    <w:p w:rsidR="00F17DD7" w:rsidRDefault="00F17DD7" w:rsidP="00194E2B">
      <w:pPr>
        <w:spacing w:after="0" w:line="240" w:lineRule="auto"/>
        <w:ind w:firstLine="567"/>
        <w:jc w:val="both"/>
      </w:pPr>
      <w:r>
        <w:t>Еще один важный новый фактор для будущих ЭЭС – появление акти</w:t>
      </w:r>
      <w:r>
        <w:t>в</w:t>
      </w:r>
      <w:r>
        <w:t>ных потребителей, самостоятельно управляющих собственным электроп</w:t>
      </w:r>
      <w:r>
        <w:t>о</w:t>
      </w:r>
      <w:r>
        <w:t>треблением в зависимости от ценовых условий на розничном рынке электр</w:t>
      </w:r>
      <w:r>
        <w:t>о</w:t>
      </w:r>
      <w:r>
        <w:t xml:space="preserve">энергии путем переноса потребления электроэнергии некоторыми </w:t>
      </w:r>
      <w:proofErr w:type="spellStart"/>
      <w:r>
        <w:t>электр</w:t>
      </w:r>
      <w:r>
        <w:t>о</w:t>
      </w:r>
      <w:r>
        <w:t>приемниками</w:t>
      </w:r>
      <w:proofErr w:type="spellEnd"/>
      <w:r>
        <w:t xml:space="preserve"> с периодов с высокой ценой электроэнергии на периоды с ни</w:t>
      </w:r>
      <w:r>
        <w:t>з</w:t>
      </w:r>
      <w:r>
        <w:t>кой ценой. Такое независимое от диспетчерского графика управление нагрузкой активных потребителей создает проблемы для управления реж</w:t>
      </w:r>
      <w:r>
        <w:t>и</w:t>
      </w:r>
      <w:r>
        <w:t>мами ЭЭС вследствие неопределенности электропотребления активных п</w:t>
      </w:r>
      <w:r>
        <w:t>о</w:t>
      </w:r>
      <w:r>
        <w:t>требителей.</w:t>
      </w:r>
      <w:r w:rsidR="00041D4F">
        <w:t xml:space="preserve"> Поэтому перспективным является взаимодействие ЭЭС и потр</w:t>
      </w:r>
      <w:r w:rsidR="00041D4F">
        <w:t>е</w:t>
      </w:r>
      <w:r w:rsidR="00041D4F">
        <w:t>бителей по совместному управлению режимами системы с использованием регулировочных возможностей потребителей.</w:t>
      </w:r>
    </w:p>
    <w:p w:rsidR="007D3A6F" w:rsidRDefault="007D3A6F" w:rsidP="007D3A6F">
      <w:pPr>
        <w:spacing w:after="0" w:line="240" w:lineRule="auto"/>
        <w:ind w:firstLine="567"/>
        <w:jc w:val="both"/>
      </w:pPr>
      <w:r>
        <w:t>Существенное изменение свойств будущих ЭЭС произойдет в результ</w:t>
      </w:r>
      <w:r>
        <w:t>а</w:t>
      </w:r>
      <w:r>
        <w:t>те массового распространения систем хранения электрической энергии, те</w:t>
      </w:r>
      <w:r>
        <w:t>х</w:t>
      </w:r>
      <w:r>
        <w:t xml:space="preserve">нологии которого уже сейчас имеют промышленное применение </w:t>
      </w:r>
      <w:r w:rsidRPr="00F16B55">
        <w:t>[</w:t>
      </w:r>
      <w:r>
        <w:t>4</w:t>
      </w:r>
      <w:r w:rsidRPr="00F16B55">
        <w:t>]</w:t>
      </w:r>
      <w:r>
        <w:t>. Хара</w:t>
      </w:r>
      <w:r>
        <w:t>к</w:t>
      </w:r>
      <w:r>
        <w:t>терно то, что системные накопители электрической энергии имеют высок</w:t>
      </w:r>
      <w:r>
        <w:t>о</w:t>
      </w:r>
      <w:r>
        <w:t>эффективные быстродействующие системы управления на базе силовой электроники, могущие внести свой вклад в обеспечение управляемости ЭЭС. Большая доля накопителей электрической энергии ожидается на базе эле</w:t>
      </w:r>
      <w:r>
        <w:t>к</w:t>
      </w:r>
      <w:r>
        <w:t>тромобилей, которые при массовом их использовании существенно изменят облик и режимы работы будущих ЭЭС.</w:t>
      </w:r>
    </w:p>
    <w:p w:rsidR="00653FCF" w:rsidRDefault="00653FCF" w:rsidP="00194E2B">
      <w:pPr>
        <w:spacing w:after="0" w:line="240" w:lineRule="auto"/>
        <w:ind w:firstLine="567"/>
        <w:jc w:val="both"/>
      </w:pPr>
      <w:r>
        <w:t xml:space="preserve">С учетом указанных тенденций все большего распространения </w:t>
      </w:r>
      <w:proofErr w:type="spellStart"/>
      <w:r>
        <w:t>электр</w:t>
      </w:r>
      <w:r>
        <w:t>о</w:t>
      </w:r>
      <w:r>
        <w:t>приемников</w:t>
      </w:r>
      <w:proofErr w:type="spellEnd"/>
      <w:r w:rsidR="00F139E2">
        <w:t xml:space="preserve"> и систем хранения электроэнергии</w:t>
      </w:r>
      <w:r>
        <w:t>, питающихся на постоянном токе через преобразовательные элементы</w:t>
      </w:r>
      <w:r w:rsidR="00F139E2">
        <w:t>,</w:t>
      </w:r>
      <w:r>
        <w:t xml:space="preserve"> можно ожидать переход к форм</w:t>
      </w:r>
      <w:r>
        <w:t>и</w:t>
      </w:r>
      <w:r>
        <w:t xml:space="preserve">рованию питающих распределительных электрических сетей на постоянном </w:t>
      </w:r>
      <w:r>
        <w:lastRenderedPageBreak/>
        <w:t xml:space="preserve">токе при размещении общих преобразовательных установок с переменного тока на постоянный на питающих подстанциях </w:t>
      </w:r>
      <w:r w:rsidRPr="00653FCF">
        <w:t>[5</w:t>
      </w:r>
      <w:r w:rsidR="00F139E2">
        <w:t>,6</w:t>
      </w:r>
      <w:r w:rsidRPr="00653FCF">
        <w:t>]</w:t>
      </w:r>
      <w:r>
        <w:t>.</w:t>
      </w:r>
    </w:p>
    <w:p w:rsidR="00653FCF" w:rsidRDefault="00653FCF" w:rsidP="00194E2B">
      <w:pPr>
        <w:spacing w:after="0" w:line="240" w:lineRule="auto"/>
        <w:ind w:firstLine="567"/>
        <w:jc w:val="both"/>
      </w:pPr>
      <w:r>
        <w:t>Перечисленные новые нагрузочные характеристики потребителей</w:t>
      </w:r>
      <w:r w:rsidR="00F139E2">
        <w:t>, нак</w:t>
      </w:r>
      <w:r w:rsidR="00F139E2">
        <w:t>о</w:t>
      </w:r>
      <w:r w:rsidR="00F139E2">
        <w:t>пителей</w:t>
      </w:r>
      <w:r>
        <w:t xml:space="preserve"> и генерации будущих ЭЭС существенно изменят свойства и упра</w:t>
      </w:r>
      <w:r>
        <w:t>в</w:t>
      </w:r>
      <w:r>
        <w:t>ляемость систем. Существующие принципы управления режимами в трад</w:t>
      </w:r>
      <w:r>
        <w:t>и</w:t>
      </w:r>
      <w:r>
        <w:t>ционных ЭЭС основываются на использовании регулирующего эффекта нагрузки и частотных характеристиках</w:t>
      </w:r>
      <w:r w:rsidR="00270A26">
        <w:t xml:space="preserve"> генерации. За счет указанных эффе</w:t>
      </w:r>
      <w:r w:rsidR="00270A26">
        <w:t>к</w:t>
      </w:r>
      <w:r w:rsidR="00270A26">
        <w:t xml:space="preserve">тов современные ЭЭС обладают внутренней </w:t>
      </w:r>
      <w:proofErr w:type="spellStart"/>
      <w:r w:rsidR="00270A26">
        <w:t>самоустойчивостью</w:t>
      </w:r>
      <w:proofErr w:type="spellEnd"/>
      <w:r w:rsidR="00270A26">
        <w:t>, а системы управления воздействуют при выходе режимных параметров за определе</w:t>
      </w:r>
      <w:r w:rsidR="00270A26">
        <w:t>н</w:t>
      </w:r>
      <w:r w:rsidR="00270A26">
        <w:t>ные границы. В связи с изменением свойств будущих ЭЭС их внутренняя</w:t>
      </w:r>
      <w:r w:rsidR="00F139E2">
        <w:t xml:space="preserve"> </w:t>
      </w:r>
      <w:proofErr w:type="spellStart"/>
      <w:r w:rsidR="00270A26">
        <w:t>с</w:t>
      </w:r>
      <w:r w:rsidR="00270A26">
        <w:t>а</w:t>
      </w:r>
      <w:r w:rsidR="00270A26">
        <w:t>моустойчивость</w:t>
      </w:r>
      <w:proofErr w:type="spellEnd"/>
      <w:r w:rsidR="00270A26">
        <w:t xml:space="preserve"> во многом трансформируется, вследствие чего традицио</w:t>
      </w:r>
      <w:r w:rsidR="00270A26">
        <w:t>н</w:t>
      </w:r>
      <w:r w:rsidR="00270A26">
        <w:t>ные принципы управления режимами</w:t>
      </w:r>
      <w:r w:rsidR="00F16B55">
        <w:t xml:space="preserve"> ЭЭС потребуют существенной мод</w:t>
      </w:r>
      <w:r w:rsidR="00F16B55">
        <w:t>и</w:t>
      </w:r>
      <w:r w:rsidR="00F16B55">
        <w:t>фикации и развития.</w:t>
      </w:r>
    </w:p>
    <w:p w:rsidR="00F16B55" w:rsidRDefault="005A7C79" w:rsidP="00194E2B">
      <w:pPr>
        <w:spacing w:after="0" w:line="240" w:lineRule="auto"/>
        <w:ind w:firstLine="567"/>
        <w:jc w:val="both"/>
      </w:pPr>
      <w:r>
        <w:t>Практически во всех странах мира в качестве государственной политики технологического развития электроэнергетики и ЭЭС будущего объявлена концепция интеллектуальной энергосистемы (</w:t>
      </w:r>
      <w:r>
        <w:rPr>
          <w:lang w:val="en-US"/>
        </w:rPr>
        <w:t>Smart</w:t>
      </w:r>
      <w:r w:rsidR="00F139E2">
        <w:t xml:space="preserve"> </w:t>
      </w:r>
      <w:r>
        <w:rPr>
          <w:lang w:val="en-US"/>
        </w:rPr>
        <w:t>Grid</w:t>
      </w:r>
      <w:r w:rsidRPr="005A7C79">
        <w:t>)</w:t>
      </w:r>
      <w:r w:rsidR="00311798">
        <w:t>. Эта концепция б</w:t>
      </w:r>
      <w:r w:rsidR="00311798">
        <w:t>а</w:t>
      </w:r>
      <w:r w:rsidR="00311798">
        <w:t>зируется на интеграции нескольких инновационных направлений во всех звеньях</w:t>
      </w:r>
      <w:r w:rsidR="004A7F12">
        <w:t xml:space="preserve"> от</w:t>
      </w:r>
      <w:r w:rsidR="00311798">
        <w:t xml:space="preserve"> производства</w:t>
      </w:r>
      <w:r w:rsidR="004A7F12">
        <w:t xml:space="preserve"> до</w:t>
      </w:r>
      <w:r w:rsidR="00311798">
        <w:t xml:space="preserve"> потребления электроэнергии, а именно </w:t>
      </w:r>
      <w:r w:rsidR="00311798" w:rsidRPr="00311798">
        <w:t>[7</w:t>
      </w:r>
      <w:r w:rsidR="00311798">
        <w:t xml:space="preserve"> и др.</w:t>
      </w:r>
      <w:r w:rsidR="00311798" w:rsidRPr="00311798">
        <w:t>]</w:t>
      </w:r>
      <w:r w:rsidR="00311798">
        <w:t>:</w:t>
      </w:r>
    </w:p>
    <w:p w:rsidR="00311798" w:rsidRDefault="00311798" w:rsidP="00194E2B">
      <w:pPr>
        <w:spacing w:after="0" w:line="240" w:lineRule="auto"/>
        <w:ind w:firstLine="567"/>
        <w:jc w:val="both"/>
      </w:pPr>
      <w:r>
        <w:sym w:font="Wingdings" w:char="F09F"/>
      </w:r>
      <w:r>
        <w:t xml:space="preserve"> инновационные технологии и установки для производства, хранения, передачи, распределения и потребления электроэнергии;</w:t>
      </w:r>
    </w:p>
    <w:p w:rsidR="00311798" w:rsidRDefault="00311798" w:rsidP="00194E2B">
      <w:pPr>
        <w:spacing w:after="0" w:line="240" w:lineRule="auto"/>
        <w:ind w:firstLine="567"/>
        <w:jc w:val="both"/>
      </w:pPr>
      <w:r>
        <w:sym w:font="Wingdings" w:char="F09F"/>
      </w:r>
      <w:r>
        <w:t xml:space="preserve"> высокоэффективные средства и технологии измерения, сбора, обр</w:t>
      </w:r>
      <w:r>
        <w:t>а</w:t>
      </w:r>
      <w:r>
        <w:t>ботки, хранения, передачи и представления (визуализации) информации;</w:t>
      </w:r>
    </w:p>
    <w:p w:rsidR="00311798" w:rsidRDefault="00311798" w:rsidP="00194E2B">
      <w:pPr>
        <w:spacing w:after="0" w:line="240" w:lineRule="auto"/>
        <w:ind w:firstLine="567"/>
        <w:jc w:val="both"/>
      </w:pPr>
      <w:r>
        <w:sym w:font="Wingdings" w:char="F09F"/>
      </w:r>
      <w:r>
        <w:t xml:space="preserve"> прогрессивные информационные и компьютерные технологии, в том числе Интернет;</w:t>
      </w:r>
    </w:p>
    <w:p w:rsidR="00311798" w:rsidRDefault="00311798" w:rsidP="00194E2B">
      <w:pPr>
        <w:spacing w:after="0" w:line="240" w:lineRule="auto"/>
        <w:ind w:firstLine="567"/>
        <w:jc w:val="both"/>
      </w:pPr>
      <w:r>
        <w:sym w:font="Wingdings" w:char="F09F"/>
      </w:r>
      <w:r>
        <w:t xml:space="preserve"> высокоэффективные методы мониторинга и управления на базе совр</w:t>
      </w:r>
      <w:r>
        <w:t>е</w:t>
      </w:r>
      <w:r>
        <w:t>менных подходов теории управления;</w:t>
      </w:r>
    </w:p>
    <w:p w:rsidR="00311798" w:rsidRDefault="00311798" w:rsidP="00194E2B">
      <w:pPr>
        <w:spacing w:after="0" w:line="240" w:lineRule="auto"/>
        <w:ind w:firstLine="567"/>
        <w:jc w:val="both"/>
      </w:pPr>
      <w:r>
        <w:sym w:font="Wingdings" w:char="F09F"/>
      </w:r>
      <w:r>
        <w:t xml:space="preserve"> активные потребители.</w:t>
      </w:r>
    </w:p>
    <w:p w:rsidR="00311798" w:rsidRDefault="00311798" w:rsidP="00194E2B">
      <w:pPr>
        <w:spacing w:after="0" w:line="240" w:lineRule="auto"/>
        <w:ind w:firstLine="567"/>
        <w:jc w:val="both"/>
      </w:pPr>
      <w:r>
        <w:t>Развитие будущих ЭЭС на технологической базе интеллектуальной энергосистемы</w:t>
      </w:r>
      <w:r w:rsidR="009C45EA">
        <w:t xml:space="preserve"> позволит во многом нивелировать перечисленные выше п</w:t>
      </w:r>
      <w:r w:rsidR="009C45EA">
        <w:t>о</w:t>
      </w:r>
      <w:r w:rsidR="009C45EA">
        <w:t>тенциально негативные тенденции в изменении свойств ЭЭС. В то же время уже сейчас возникают, а в будущем будут обостряться новые проблемы, св</w:t>
      </w:r>
      <w:r w:rsidR="009C45EA">
        <w:t>я</w:t>
      </w:r>
      <w:r w:rsidR="009C45EA">
        <w:t>занные  с необходимостью усиления координации управления режимами ЭЭС на различных уровнях, повышения эффективности управления, обесп</w:t>
      </w:r>
      <w:r w:rsidR="009C45EA">
        <w:t>е</w:t>
      </w:r>
      <w:r w:rsidR="009C45EA">
        <w:t xml:space="preserve">чения надежности самой системы управления режимами ЭЭС. </w:t>
      </w:r>
      <w:r w:rsidR="00EB3495">
        <w:t xml:space="preserve">Особую остроту приобретают вопросы информационной и </w:t>
      </w:r>
      <w:proofErr w:type="spellStart"/>
      <w:r w:rsidR="00EB3495">
        <w:t>кибер</w:t>
      </w:r>
      <w:proofErr w:type="spellEnd"/>
      <w:r w:rsidR="00EB3495">
        <w:t xml:space="preserve">-безопасности при мониторинге и управлении ЭЭС </w:t>
      </w:r>
      <w:r w:rsidR="00EB3495" w:rsidRPr="00EB3495">
        <w:t>[8, 9</w:t>
      </w:r>
      <w:r w:rsidR="00EB3495">
        <w:t xml:space="preserve"> и др.</w:t>
      </w:r>
      <w:r w:rsidR="00EB3495" w:rsidRPr="00EB3495">
        <w:t>]</w:t>
      </w:r>
      <w:r w:rsidR="00EB3495">
        <w:t>.</w:t>
      </w:r>
    </w:p>
    <w:p w:rsidR="00EB3495" w:rsidRDefault="00EB3495" w:rsidP="00194E2B">
      <w:pPr>
        <w:spacing w:after="0" w:line="240" w:lineRule="auto"/>
        <w:ind w:firstLine="567"/>
        <w:jc w:val="both"/>
      </w:pPr>
      <w:r>
        <w:t>Все изложенное требует серьезных глубоких исследований по изучению свойств будущих ЭЭС, разработк</w:t>
      </w:r>
      <w:r w:rsidR="00F139E2">
        <w:t>е</w:t>
      </w:r>
      <w:r>
        <w:t xml:space="preserve"> принципов и методов их формирования с учетом изменяющихся условий, управления их режимами в нормальных и аварийных ситуациях, а также систем диспетчерского и автоматического управления режимами будущих ЭЭС</w:t>
      </w:r>
      <w:r w:rsidR="00D55599">
        <w:t xml:space="preserve"> </w:t>
      </w:r>
      <w:r w:rsidR="00D55599" w:rsidRPr="00D55599">
        <w:t>[</w:t>
      </w:r>
      <w:r w:rsidR="00D55599">
        <w:t>10</w:t>
      </w:r>
      <w:r w:rsidR="00D55599" w:rsidRPr="00D55599">
        <w:t>]</w:t>
      </w:r>
      <w:r>
        <w:t>.</w:t>
      </w:r>
    </w:p>
    <w:p w:rsidR="00EB3495" w:rsidRDefault="00EB3495" w:rsidP="00194E2B">
      <w:pPr>
        <w:spacing w:after="0" w:line="240" w:lineRule="auto"/>
        <w:ind w:firstLine="567"/>
        <w:jc w:val="both"/>
      </w:pPr>
    </w:p>
    <w:p w:rsidR="00EB3495" w:rsidRPr="0011607A" w:rsidRDefault="0011607A" w:rsidP="0011607A">
      <w:pPr>
        <w:spacing w:after="0" w:line="240" w:lineRule="auto"/>
        <w:ind w:firstLine="567"/>
        <w:jc w:val="center"/>
        <w:rPr>
          <w:b/>
        </w:rPr>
      </w:pPr>
      <w:r w:rsidRPr="0011607A">
        <w:rPr>
          <w:b/>
        </w:rPr>
        <w:t>Литература</w:t>
      </w:r>
    </w:p>
    <w:p w:rsidR="009C45EA" w:rsidRDefault="009C45EA" w:rsidP="00194E2B">
      <w:pPr>
        <w:spacing w:after="0" w:line="240" w:lineRule="auto"/>
        <w:ind w:firstLine="567"/>
        <w:jc w:val="both"/>
      </w:pPr>
    </w:p>
    <w:p w:rsidR="0011607A" w:rsidRDefault="0011607A" w:rsidP="00194E2B">
      <w:pPr>
        <w:spacing w:after="0" w:line="240" w:lineRule="auto"/>
        <w:ind w:firstLine="567"/>
        <w:jc w:val="both"/>
      </w:pPr>
      <w:r>
        <w:lastRenderedPageBreak/>
        <w:t xml:space="preserve">1. </w:t>
      </w:r>
      <w:proofErr w:type="spellStart"/>
      <w:r>
        <w:t>Воропай</w:t>
      </w:r>
      <w:proofErr w:type="spellEnd"/>
      <w:r>
        <w:t xml:space="preserve"> Н.И., </w:t>
      </w:r>
      <w:proofErr w:type="spellStart"/>
      <w:r>
        <w:t>Стенников</w:t>
      </w:r>
      <w:proofErr w:type="spellEnd"/>
      <w:r>
        <w:t xml:space="preserve"> В.А. Энергетическая стратегия России: и</w:t>
      </w:r>
      <w:r>
        <w:t>з</w:t>
      </w:r>
      <w:r>
        <w:t>меняющийся взгляд на развитие электроэнергетики // Энергетическая пол</w:t>
      </w:r>
      <w:r>
        <w:t>и</w:t>
      </w:r>
      <w:r>
        <w:t xml:space="preserve">тика, 2013, </w:t>
      </w:r>
      <w:proofErr w:type="spellStart"/>
      <w:r>
        <w:t>вып</w:t>
      </w:r>
      <w:proofErr w:type="spellEnd"/>
      <w:r>
        <w:t>. 2, с. 66-70.</w:t>
      </w:r>
    </w:p>
    <w:p w:rsidR="0011607A" w:rsidRDefault="0011607A" w:rsidP="00194E2B">
      <w:pPr>
        <w:spacing w:after="0" w:line="240" w:lineRule="auto"/>
        <w:ind w:firstLine="567"/>
        <w:jc w:val="both"/>
      </w:pPr>
      <w:r>
        <w:t>2. Бушуев В.В. Электроэнергетика в энергетической стратегии России // Электричество, 2014, №8, с. 4-8.</w:t>
      </w:r>
    </w:p>
    <w:p w:rsidR="0011607A" w:rsidRDefault="0011607A" w:rsidP="00194E2B">
      <w:pPr>
        <w:spacing w:after="0" w:line="240" w:lineRule="auto"/>
        <w:ind w:firstLine="567"/>
        <w:jc w:val="both"/>
        <w:rPr>
          <w:lang w:val="en-US"/>
        </w:rPr>
      </w:pPr>
      <w:r w:rsidRPr="0011607A">
        <w:rPr>
          <w:lang w:val="en-US"/>
        </w:rPr>
        <w:t xml:space="preserve">3. </w:t>
      </w:r>
      <w:r>
        <w:rPr>
          <w:lang w:val="en-US"/>
        </w:rPr>
        <w:t xml:space="preserve">Zhang X.-P., </w:t>
      </w:r>
      <w:proofErr w:type="spellStart"/>
      <w:r>
        <w:rPr>
          <w:lang w:val="en-US"/>
        </w:rPr>
        <w:t>Rehtanz</w:t>
      </w:r>
      <w:proofErr w:type="spellEnd"/>
      <w:r>
        <w:rPr>
          <w:lang w:val="en-US"/>
        </w:rPr>
        <w:t xml:space="preserve"> Ch., Pal B. Flexible </w:t>
      </w:r>
      <w:r w:rsidR="00F139E2">
        <w:rPr>
          <w:lang w:val="en-US"/>
        </w:rPr>
        <w:t>A</w:t>
      </w:r>
      <w:r w:rsidR="00DF118D">
        <w:rPr>
          <w:lang w:val="en-US"/>
        </w:rPr>
        <w:t>C t</w:t>
      </w:r>
      <w:r>
        <w:rPr>
          <w:lang w:val="en-US"/>
        </w:rPr>
        <w:t>rans</w:t>
      </w:r>
      <w:r w:rsidR="00DF118D">
        <w:rPr>
          <w:lang w:val="en-US"/>
        </w:rPr>
        <w:t>mission systems: m</w:t>
      </w:r>
      <w:r>
        <w:rPr>
          <w:lang w:val="en-US"/>
        </w:rPr>
        <w:t>o</w:t>
      </w:r>
      <w:r>
        <w:rPr>
          <w:lang w:val="en-US"/>
        </w:rPr>
        <w:t>d</w:t>
      </w:r>
      <w:r w:rsidR="00DF118D">
        <w:rPr>
          <w:lang w:val="en-US"/>
        </w:rPr>
        <w:t>elling and c</w:t>
      </w:r>
      <w:r>
        <w:rPr>
          <w:lang w:val="en-US"/>
        </w:rPr>
        <w:t>ontrol. Berlin – Heidelberg: Springer-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>, 2006, 383 p.</w:t>
      </w:r>
    </w:p>
    <w:p w:rsidR="00F139E2" w:rsidRDefault="00DF118D" w:rsidP="00F139E2">
      <w:pPr>
        <w:spacing w:after="0" w:line="240" w:lineRule="auto"/>
        <w:ind w:firstLine="567"/>
        <w:jc w:val="both"/>
        <w:rPr>
          <w:lang w:val="en-US"/>
        </w:rPr>
      </w:pPr>
      <w:r>
        <w:rPr>
          <w:lang w:val="en-US"/>
        </w:rPr>
        <w:t>4. Electric energy storage s</w:t>
      </w:r>
      <w:r w:rsidR="00F139E2">
        <w:rPr>
          <w:lang w:val="en-US"/>
        </w:rPr>
        <w:t xml:space="preserve">ystems / </w:t>
      </w:r>
      <w:proofErr w:type="spellStart"/>
      <w:r w:rsidR="00F139E2">
        <w:rPr>
          <w:lang w:val="en-US"/>
        </w:rPr>
        <w:t>Styczynski</w:t>
      </w:r>
      <w:proofErr w:type="spellEnd"/>
      <w:r w:rsidR="00F139E2">
        <w:rPr>
          <w:lang w:val="en-US"/>
        </w:rPr>
        <w:t xml:space="preserve"> Z.A., </w:t>
      </w:r>
      <w:proofErr w:type="spellStart"/>
      <w:r w:rsidR="00F139E2">
        <w:rPr>
          <w:lang w:val="en-US"/>
        </w:rPr>
        <w:t>Adamek</w:t>
      </w:r>
      <w:proofErr w:type="spellEnd"/>
      <w:r w:rsidR="00F139E2">
        <w:rPr>
          <w:lang w:val="en-US"/>
        </w:rPr>
        <w:t xml:space="preserve"> F., </w:t>
      </w:r>
      <w:proofErr w:type="spellStart"/>
      <w:r w:rsidR="00F139E2">
        <w:rPr>
          <w:lang w:val="en-US"/>
        </w:rPr>
        <w:t>Voropai</w:t>
      </w:r>
      <w:proofErr w:type="spellEnd"/>
      <w:r w:rsidR="00F139E2">
        <w:rPr>
          <w:lang w:val="en-US"/>
        </w:rPr>
        <w:t xml:space="preserve"> N.I. </w:t>
      </w:r>
      <w:proofErr w:type="spellStart"/>
      <w:r w:rsidR="00F139E2">
        <w:rPr>
          <w:lang w:val="en-US"/>
        </w:rPr>
        <w:t>e.a</w:t>
      </w:r>
      <w:proofErr w:type="spellEnd"/>
      <w:r w:rsidR="00F139E2">
        <w:rPr>
          <w:lang w:val="en-US"/>
        </w:rPr>
        <w:t>. CIGRE: Paris, 2011, 95 p.</w:t>
      </w:r>
    </w:p>
    <w:p w:rsidR="0011607A" w:rsidRDefault="00F139E2" w:rsidP="00194E2B">
      <w:pPr>
        <w:spacing w:after="0" w:line="240" w:lineRule="auto"/>
        <w:ind w:firstLine="567"/>
        <w:jc w:val="both"/>
        <w:rPr>
          <w:lang w:val="en-US"/>
        </w:rPr>
      </w:pPr>
      <w:r>
        <w:rPr>
          <w:lang w:val="en-US"/>
        </w:rPr>
        <w:t>5</w:t>
      </w:r>
      <w:r w:rsidR="00DF118D">
        <w:rPr>
          <w:lang w:val="en-US"/>
        </w:rPr>
        <w:t xml:space="preserve">. </w:t>
      </w:r>
      <w:proofErr w:type="spellStart"/>
      <w:r w:rsidR="00DF118D">
        <w:rPr>
          <w:lang w:val="en-US"/>
        </w:rPr>
        <w:t>Allee</w:t>
      </w:r>
      <w:proofErr w:type="spellEnd"/>
      <w:r w:rsidR="00DF118D">
        <w:rPr>
          <w:lang w:val="en-US"/>
        </w:rPr>
        <w:t xml:space="preserve"> G., </w:t>
      </w:r>
      <w:proofErr w:type="spellStart"/>
      <w:r w:rsidR="00DF118D">
        <w:rPr>
          <w:lang w:val="en-US"/>
        </w:rPr>
        <w:t>Tschudi</w:t>
      </w:r>
      <w:proofErr w:type="spellEnd"/>
      <w:r w:rsidR="00DF118D">
        <w:rPr>
          <w:lang w:val="en-US"/>
        </w:rPr>
        <w:t xml:space="preserve"> W. Edison </w:t>
      </w:r>
      <w:proofErr w:type="spellStart"/>
      <w:r w:rsidR="00DF118D">
        <w:rPr>
          <w:lang w:val="en-US"/>
        </w:rPr>
        <w:t>redux</w:t>
      </w:r>
      <w:proofErr w:type="spellEnd"/>
      <w:r w:rsidR="00DF118D">
        <w:rPr>
          <w:lang w:val="en-US"/>
        </w:rPr>
        <w:t>: 380 V DC brings r</w:t>
      </w:r>
      <w:r w:rsidR="0011607A">
        <w:rPr>
          <w:lang w:val="en-US"/>
        </w:rPr>
        <w:t>e</w:t>
      </w:r>
      <w:r w:rsidR="00DF118D">
        <w:rPr>
          <w:lang w:val="en-US"/>
        </w:rPr>
        <w:t>liability and e</w:t>
      </w:r>
      <w:r w:rsidR="0011607A">
        <w:rPr>
          <w:lang w:val="en-US"/>
        </w:rPr>
        <w:t>ff</w:t>
      </w:r>
      <w:r w:rsidR="0011607A">
        <w:rPr>
          <w:lang w:val="en-US"/>
        </w:rPr>
        <w:t>i</w:t>
      </w:r>
      <w:r w:rsidR="0011607A">
        <w:rPr>
          <w:lang w:val="en-US"/>
        </w:rPr>
        <w:t>ciency t</w:t>
      </w:r>
      <w:r w:rsidR="00DF118D">
        <w:rPr>
          <w:lang w:val="en-US"/>
        </w:rPr>
        <w:t>o sustainable data c</w:t>
      </w:r>
      <w:r w:rsidR="00E639BE">
        <w:rPr>
          <w:lang w:val="en-US"/>
        </w:rPr>
        <w:t>enters // IEEE Power and Energy Magazine, 2012, Vol. 10, N</w:t>
      </w:r>
      <w:r>
        <w:rPr>
          <w:lang w:val="en-US"/>
        </w:rPr>
        <w:t>o</w:t>
      </w:r>
      <w:r w:rsidR="00E639BE">
        <w:rPr>
          <w:lang w:val="en-US"/>
        </w:rPr>
        <w:t>. 6, P. 50-59.</w:t>
      </w:r>
    </w:p>
    <w:p w:rsidR="00E639BE" w:rsidRDefault="00F139E2" w:rsidP="00194E2B">
      <w:pPr>
        <w:spacing w:after="0" w:line="240" w:lineRule="auto"/>
        <w:ind w:firstLine="567"/>
        <w:jc w:val="both"/>
        <w:rPr>
          <w:lang w:val="en-US"/>
        </w:rPr>
      </w:pPr>
      <w:r>
        <w:rPr>
          <w:lang w:val="en-US"/>
        </w:rPr>
        <w:t>6</w:t>
      </w:r>
      <w:r w:rsidR="00E639BE">
        <w:rPr>
          <w:lang w:val="en-US"/>
        </w:rPr>
        <w:t xml:space="preserve">. Patterson B.T. </w:t>
      </w:r>
      <w:r>
        <w:rPr>
          <w:lang w:val="en-US"/>
        </w:rPr>
        <w:t>DC</w:t>
      </w:r>
      <w:r w:rsidR="00DF118D">
        <w:rPr>
          <w:lang w:val="en-US"/>
        </w:rPr>
        <w:t>, c</w:t>
      </w:r>
      <w:r>
        <w:rPr>
          <w:lang w:val="en-US"/>
        </w:rPr>
        <w:t>ome</w:t>
      </w:r>
      <w:r w:rsidR="00DF118D">
        <w:rPr>
          <w:lang w:val="en-US"/>
        </w:rPr>
        <w:t xml:space="preserve"> h</w:t>
      </w:r>
      <w:r w:rsidR="00E639BE">
        <w:rPr>
          <w:lang w:val="en-US"/>
        </w:rPr>
        <w:t>ome</w:t>
      </w:r>
      <w:r w:rsidR="004A7F12" w:rsidRPr="004A7F12">
        <w:rPr>
          <w:lang w:val="en-US"/>
        </w:rPr>
        <w:t>:</w:t>
      </w:r>
      <w:r w:rsidR="00DF118D">
        <w:rPr>
          <w:lang w:val="en-US"/>
        </w:rPr>
        <w:t xml:space="preserve"> DC </w:t>
      </w:r>
      <w:proofErr w:type="spellStart"/>
      <w:r w:rsidR="00DF118D">
        <w:rPr>
          <w:lang w:val="en-US"/>
        </w:rPr>
        <w:t>microgrids</w:t>
      </w:r>
      <w:proofErr w:type="spellEnd"/>
      <w:r w:rsidR="00DF118D">
        <w:rPr>
          <w:lang w:val="en-US"/>
        </w:rPr>
        <w:t xml:space="preserve"> and the b</w:t>
      </w:r>
      <w:r w:rsidR="00E639BE">
        <w:rPr>
          <w:lang w:val="en-US"/>
        </w:rPr>
        <w:t>irth of the “</w:t>
      </w:r>
      <w:proofErr w:type="spellStart"/>
      <w:r w:rsidR="00E639BE">
        <w:rPr>
          <w:lang w:val="en-US"/>
        </w:rPr>
        <w:t>Enernet</w:t>
      </w:r>
      <w:proofErr w:type="spellEnd"/>
      <w:r w:rsidR="00E639BE">
        <w:rPr>
          <w:lang w:val="en-US"/>
        </w:rPr>
        <w:t>” // IEEE Power and Energy Magazine, 2012, Vol. 10, N</w:t>
      </w:r>
      <w:r>
        <w:rPr>
          <w:lang w:val="en-US"/>
        </w:rPr>
        <w:t>o</w:t>
      </w:r>
      <w:r w:rsidR="00E639BE">
        <w:rPr>
          <w:lang w:val="en-US"/>
        </w:rPr>
        <w:t>. 6, P. 60-69.</w:t>
      </w:r>
    </w:p>
    <w:p w:rsidR="00E639BE" w:rsidRDefault="00F33CFC" w:rsidP="00194E2B">
      <w:pPr>
        <w:spacing w:after="0" w:line="240" w:lineRule="auto"/>
        <w:ind w:firstLine="567"/>
        <w:jc w:val="both"/>
      </w:pPr>
      <w:r w:rsidRPr="00F33CFC">
        <w:t xml:space="preserve">7. </w:t>
      </w:r>
      <w:proofErr w:type="spellStart"/>
      <w:r>
        <w:t>Воропай</w:t>
      </w:r>
      <w:proofErr w:type="spellEnd"/>
      <w:r w:rsidR="00F139E2" w:rsidRPr="00F139E2">
        <w:t xml:space="preserve"> </w:t>
      </w:r>
      <w:r>
        <w:t>Н</w:t>
      </w:r>
      <w:r w:rsidRPr="00F33CFC">
        <w:t>.</w:t>
      </w:r>
      <w:r>
        <w:t>И</w:t>
      </w:r>
      <w:r w:rsidRPr="00F33CFC">
        <w:t xml:space="preserve">. </w:t>
      </w:r>
      <w:r>
        <w:rPr>
          <w:lang w:val="en-US"/>
        </w:rPr>
        <w:t>Smart</w:t>
      </w:r>
      <w:r w:rsidR="00F139E2" w:rsidRPr="00F139E2">
        <w:t xml:space="preserve"> </w:t>
      </w:r>
      <w:r>
        <w:rPr>
          <w:lang w:val="en-US"/>
        </w:rPr>
        <w:t>Grid</w:t>
      </w:r>
      <w:r w:rsidRPr="00F33CFC">
        <w:t xml:space="preserve">: </w:t>
      </w:r>
      <w:r>
        <w:t>мифы</w:t>
      </w:r>
      <w:r w:rsidRPr="00F33CFC">
        <w:t>,</w:t>
      </w:r>
      <w:r>
        <w:t xml:space="preserve"> реальность, перспективы</w:t>
      </w:r>
      <w:r w:rsidR="00354642">
        <w:t xml:space="preserve"> // Энергет</w:t>
      </w:r>
      <w:r w:rsidR="00354642">
        <w:t>и</w:t>
      </w:r>
      <w:r w:rsidR="00354642">
        <w:t xml:space="preserve">ческая политика, 2010, </w:t>
      </w:r>
      <w:proofErr w:type="spellStart"/>
      <w:r w:rsidR="00354642">
        <w:t>вып</w:t>
      </w:r>
      <w:proofErr w:type="spellEnd"/>
      <w:r w:rsidR="00354642">
        <w:t>. 2, с. 9-14.</w:t>
      </w:r>
    </w:p>
    <w:p w:rsidR="00354642" w:rsidRDefault="00354642" w:rsidP="00194E2B">
      <w:pPr>
        <w:spacing w:after="0" w:line="240" w:lineRule="auto"/>
        <w:ind w:firstLine="567"/>
        <w:jc w:val="both"/>
        <w:rPr>
          <w:lang w:val="en-US"/>
        </w:rPr>
      </w:pPr>
      <w:r w:rsidRPr="00354642">
        <w:rPr>
          <w:lang w:val="en-US"/>
        </w:rPr>
        <w:t xml:space="preserve">8. </w:t>
      </w:r>
      <w:r w:rsidR="00DF118D">
        <w:rPr>
          <w:lang w:val="en-US"/>
        </w:rPr>
        <w:t xml:space="preserve">Yin Wei, </w:t>
      </w:r>
      <w:proofErr w:type="spellStart"/>
      <w:r w:rsidR="00DF118D">
        <w:rPr>
          <w:lang w:val="en-US"/>
        </w:rPr>
        <w:t>Kundur</w:t>
      </w:r>
      <w:proofErr w:type="spellEnd"/>
      <w:r w:rsidR="00DF118D">
        <w:rPr>
          <w:lang w:val="en-US"/>
        </w:rPr>
        <w:t xml:space="preserve"> D. Two-tier hierarchical cyber-physical security a</w:t>
      </w:r>
      <w:r>
        <w:rPr>
          <w:lang w:val="en-US"/>
        </w:rPr>
        <w:t>na</w:t>
      </w:r>
      <w:r w:rsidR="00FC386F">
        <w:rPr>
          <w:lang w:val="en-US"/>
        </w:rPr>
        <w:t>ly</w:t>
      </w:r>
      <w:r w:rsidR="00DF118D">
        <w:rPr>
          <w:lang w:val="en-US"/>
        </w:rPr>
        <w:t>sis f</w:t>
      </w:r>
      <w:r w:rsidR="00FC386F">
        <w:rPr>
          <w:lang w:val="en-US"/>
        </w:rPr>
        <w:t>ramework for Smart Grid // IEEE PES General Meeting, San Diego, USA, July 22-27, 2012, 5 p.</w:t>
      </w:r>
    </w:p>
    <w:p w:rsidR="00FC386F" w:rsidRDefault="00FC386F" w:rsidP="00194E2B">
      <w:pPr>
        <w:spacing w:after="0" w:line="240" w:lineRule="auto"/>
        <w:ind w:firstLine="567"/>
        <w:jc w:val="both"/>
      </w:pPr>
      <w:r w:rsidRPr="00FC386F">
        <w:t xml:space="preserve">9. </w:t>
      </w:r>
      <w:r>
        <w:t xml:space="preserve">Осак А.Б., </w:t>
      </w:r>
      <w:proofErr w:type="spellStart"/>
      <w:r>
        <w:t>Панасецкий</w:t>
      </w:r>
      <w:proofErr w:type="spellEnd"/>
      <w:r>
        <w:t xml:space="preserve"> Д.А., Бузина Е.Я. Аспекты надежности и бе</w:t>
      </w:r>
      <w:r>
        <w:t>з</w:t>
      </w:r>
      <w:r>
        <w:t xml:space="preserve">опасности при проектировании цифровых подстанций // </w:t>
      </w:r>
      <w:proofErr w:type="spellStart"/>
      <w:r>
        <w:t>Междунар</w:t>
      </w:r>
      <w:proofErr w:type="spellEnd"/>
      <w:r>
        <w:t xml:space="preserve">. н.-т. </w:t>
      </w:r>
      <w:proofErr w:type="spellStart"/>
      <w:r>
        <w:t>конф</w:t>
      </w:r>
      <w:proofErr w:type="spellEnd"/>
      <w:r>
        <w:t>. «Современные направления развития систем релейной защиты и авт</w:t>
      </w:r>
      <w:r>
        <w:t>о</w:t>
      </w:r>
      <w:r>
        <w:t>матики энергосистем». Екатеринбург, Россия, 3-7 июня 2013 г.</w:t>
      </w:r>
      <w:r w:rsidR="00F139E2">
        <w:t>, 7 с.</w:t>
      </w:r>
    </w:p>
    <w:p w:rsidR="00382858" w:rsidRPr="00FA14E0" w:rsidRDefault="00D55599" w:rsidP="00D55599">
      <w:pPr>
        <w:spacing w:after="0" w:line="240" w:lineRule="auto"/>
        <w:ind w:firstLine="567"/>
        <w:jc w:val="both"/>
      </w:pPr>
      <w:r>
        <w:t xml:space="preserve">10. </w:t>
      </w:r>
      <w:proofErr w:type="spellStart"/>
      <w:r>
        <w:t>Воропай</w:t>
      </w:r>
      <w:proofErr w:type="spellEnd"/>
      <w:r>
        <w:t xml:space="preserve"> Н.И., Осак А.Б.</w:t>
      </w:r>
      <w:r w:rsidR="00FA14E0">
        <w:t xml:space="preserve"> Электроэнергетические системы будущего </w:t>
      </w:r>
      <w:r w:rsidR="00FA14E0" w:rsidRPr="00FA14E0">
        <w:t xml:space="preserve">// </w:t>
      </w:r>
      <w:r w:rsidR="00FA14E0">
        <w:t xml:space="preserve">Энергетическая политика, 2014, </w:t>
      </w:r>
      <w:proofErr w:type="spellStart"/>
      <w:r w:rsidR="00FA14E0">
        <w:t>вып</w:t>
      </w:r>
      <w:proofErr w:type="spellEnd"/>
      <w:r w:rsidR="00FA14E0">
        <w:t xml:space="preserve">. 5, с. 60-63. </w:t>
      </w:r>
      <w:r w:rsidR="00D45389">
        <w:t xml:space="preserve"> </w:t>
      </w:r>
    </w:p>
    <w:p w:rsidR="00382858" w:rsidRPr="00D55599" w:rsidRDefault="00382858" w:rsidP="00194E2B">
      <w:pPr>
        <w:spacing w:after="0" w:line="240" w:lineRule="auto"/>
        <w:ind w:firstLine="567"/>
        <w:jc w:val="both"/>
      </w:pPr>
    </w:p>
    <w:sectPr w:rsidR="00382858" w:rsidRPr="00D55599" w:rsidSect="00B459BC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A1" w:rsidRDefault="006A6FA1" w:rsidP="00194E2B">
      <w:pPr>
        <w:spacing w:after="0" w:line="240" w:lineRule="auto"/>
      </w:pPr>
      <w:r>
        <w:separator/>
      </w:r>
    </w:p>
  </w:endnote>
  <w:endnote w:type="continuationSeparator" w:id="0">
    <w:p w:rsidR="006A6FA1" w:rsidRDefault="006A6FA1" w:rsidP="001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A1" w:rsidRDefault="006A6FA1" w:rsidP="00194E2B">
      <w:pPr>
        <w:spacing w:after="0" w:line="240" w:lineRule="auto"/>
      </w:pPr>
      <w:r>
        <w:separator/>
      </w:r>
    </w:p>
  </w:footnote>
  <w:footnote w:type="continuationSeparator" w:id="0">
    <w:p w:rsidR="006A6FA1" w:rsidRDefault="006A6FA1" w:rsidP="001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41022"/>
      <w:docPartObj>
        <w:docPartGallery w:val="Page Numbers (Top of Page)"/>
        <w:docPartUnique/>
      </w:docPartObj>
    </w:sdtPr>
    <w:sdtEndPr/>
    <w:sdtContent>
      <w:p w:rsidR="001426FE" w:rsidRDefault="001426FE">
        <w:pPr>
          <w:pStyle w:val="a7"/>
          <w:jc w:val="right"/>
        </w:pPr>
        <w:r w:rsidRPr="001E6A49">
          <w:rPr>
            <w:sz w:val="24"/>
            <w:szCs w:val="24"/>
          </w:rPr>
          <w:fldChar w:fldCharType="begin"/>
        </w:r>
        <w:r w:rsidRPr="001E6A49">
          <w:rPr>
            <w:sz w:val="24"/>
            <w:szCs w:val="24"/>
          </w:rPr>
          <w:instrText>PAGE   \* MERGEFORMAT</w:instrText>
        </w:r>
        <w:r w:rsidRPr="001E6A49">
          <w:rPr>
            <w:sz w:val="24"/>
            <w:szCs w:val="24"/>
          </w:rPr>
          <w:fldChar w:fldCharType="separate"/>
        </w:r>
        <w:r w:rsidR="00F23059">
          <w:rPr>
            <w:noProof/>
            <w:sz w:val="24"/>
            <w:szCs w:val="24"/>
          </w:rPr>
          <w:t>5</w:t>
        </w:r>
        <w:r w:rsidRPr="001E6A49">
          <w:rPr>
            <w:sz w:val="24"/>
            <w:szCs w:val="24"/>
          </w:rPr>
          <w:fldChar w:fldCharType="end"/>
        </w:r>
      </w:p>
    </w:sdtContent>
  </w:sdt>
  <w:p w:rsidR="001426FE" w:rsidRDefault="001426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B"/>
    <w:rsid w:val="000314C4"/>
    <w:rsid w:val="00041D4F"/>
    <w:rsid w:val="0007152D"/>
    <w:rsid w:val="0011607A"/>
    <w:rsid w:val="001426FE"/>
    <w:rsid w:val="00194E2B"/>
    <w:rsid w:val="001C4A8A"/>
    <w:rsid w:val="001E6A49"/>
    <w:rsid w:val="00270A26"/>
    <w:rsid w:val="002A5FC3"/>
    <w:rsid w:val="00311798"/>
    <w:rsid w:val="00354642"/>
    <w:rsid w:val="00382858"/>
    <w:rsid w:val="0039496C"/>
    <w:rsid w:val="00397F3E"/>
    <w:rsid w:val="0046331E"/>
    <w:rsid w:val="004A7F12"/>
    <w:rsid w:val="004B5B05"/>
    <w:rsid w:val="004D7AB1"/>
    <w:rsid w:val="004E3F17"/>
    <w:rsid w:val="004E656E"/>
    <w:rsid w:val="005017D5"/>
    <w:rsid w:val="0053312C"/>
    <w:rsid w:val="00547FCC"/>
    <w:rsid w:val="00572517"/>
    <w:rsid w:val="005A2D52"/>
    <w:rsid w:val="005A7C79"/>
    <w:rsid w:val="005F3039"/>
    <w:rsid w:val="006036DA"/>
    <w:rsid w:val="00653FCF"/>
    <w:rsid w:val="00690F29"/>
    <w:rsid w:val="006A6FA1"/>
    <w:rsid w:val="0075597C"/>
    <w:rsid w:val="007B38CB"/>
    <w:rsid w:val="007D3A6F"/>
    <w:rsid w:val="007F4CDF"/>
    <w:rsid w:val="00830F0F"/>
    <w:rsid w:val="008C63FD"/>
    <w:rsid w:val="008F1BC0"/>
    <w:rsid w:val="008F53A2"/>
    <w:rsid w:val="009332A2"/>
    <w:rsid w:val="009A2013"/>
    <w:rsid w:val="009C45EA"/>
    <w:rsid w:val="009E4455"/>
    <w:rsid w:val="00A9400F"/>
    <w:rsid w:val="00AA4756"/>
    <w:rsid w:val="00AD343A"/>
    <w:rsid w:val="00AD38C5"/>
    <w:rsid w:val="00B459BC"/>
    <w:rsid w:val="00B8744F"/>
    <w:rsid w:val="00BC1C93"/>
    <w:rsid w:val="00BF676D"/>
    <w:rsid w:val="00C31EAC"/>
    <w:rsid w:val="00D45389"/>
    <w:rsid w:val="00D55599"/>
    <w:rsid w:val="00DF118D"/>
    <w:rsid w:val="00E639BE"/>
    <w:rsid w:val="00EB3495"/>
    <w:rsid w:val="00F020D8"/>
    <w:rsid w:val="00F139E2"/>
    <w:rsid w:val="00F14C68"/>
    <w:rsid w:val="00F16B55"/>
    <w:rsid w:val="00F17DD7"/>
    <w:rsid w:val="00F23059"/>
    <w:rsid w:val="00F33CFC"/>
    <w:rsid w:val="00FA14E0"/>
    <w:rsid w:val="00FC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4E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4E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4E2B"/>
    <w:rPr>
      <w:vertAlign w:val="superscript"/>
    </w:rPr>
  </w:style>
  <w:style w:type="character" w:styleId="a6">
    <w:name w:val="Hyperlink"/>
    <w:basedOn w:val="a0"/>
    <w:uiPriority w:val="99"/>
    <w:unhideWhenUsed/>
    <w:rsid w:val="00194E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4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6FE"/>
  </w:style>
  <w:style w:type="paragraph" w:styleId="a9">
    <w:name w:val="footer"/>
    <w:basedOn w:val="a"/>
    <w:link w:val="aa"/>
    <w:uiPriority w:val="99"/>
    <w:unhideWhenUsed/>
    <w:rsid w:val="0014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4E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4E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4E2B"/>
    <w:rPr>
      <w:vertAlign w:val="superscript"/>
    </w:rPr>
  </w:style>
  <w:style w:type="character" w:styleId="a6">
    <w:name w:val="Hyperlink"/>
    <w:basedOn w:val="a0"/>
    <w:uiPriority w:val="99"/>
    <w:unhideWhenUsed/>
    <w:rsid w:val="00194E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4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6FE"/>
  </w:style>
  <w:style w:type="paragraph" w:styleId="a9">
    <w:name w:val="footer"/>
    <w:basedOn w:val="a"/>
    <w:link w:val="aa"/>
    <w:uiPriority w:val="99"/>
    <w:unhideWhenUsed/>
    <w:rsid w:val="0014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DE53-EC0E-487A-8C66-906588E5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K_Goroshkin</cp:lastModifiedBy>
  <cp:revision>2</cp:revision>
  <cp:lastPrinted>2015-06-16T06:53:00Z</cp:lastPrinted>
  <dcterms:created xsi:type="dcterms:W3CDTF">2016-12-28T09:37:00Z</dcterms:created>
  <dcterms:modified xsi:type="dcterms:W3CDTF">2016-12-28T09:37:00Z</dcterms:modified>
</cp:coreProperties>
</file>