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69" w:rsidRDefault="008C0A69" w:rsidP="008C0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proofErr w:type="spellStart"/>
      <w:r w:rsidRPr="00290E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Гальперова</w:t>
      </w:r>
      <w:proofErr w:type="spellEnd"/>
      <w:r w:rsidRPr="00290E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Е.В., Мазурова О.В.</w:t>
      </w:r>
    </w:p>
    <w:bookmarkEnd w:id="0"/>
    <w:p w:rsidR="008C0A69" w:rsidRPr="00E07B26" w:rsidRDefault="008C0A69" w:rsidP="008C0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ИСЭМ СО РАН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03A0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2.2 Роль электрической энергии в повышении качества жизни населения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</w:t>
      </w:r>
      <w:r w:rsidRPr="00C03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</w:t>
      </w:r>
      <w:r w:rsidRPr="00C03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 идет неуклонный рост потребления электроэнергии.</w:t>
      </w:r>
      <w:r w:rsidRPr="00C03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C03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лектроэнергии как самого </w:t>
      </w:r>
      <w:r w:rsidRPr="00C03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</w:rPr>
        <w:t>прогрессивного, удобного и универсального энергетического ресурса в жизни человека и общества невероятно велика.  Возможность преобразования в другие виды энергии (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световую, механическую, тепловую, звуковую), </w:t>
      </w:r>
      <w:proofErr w:type="spell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простота регулирования определили широкое ее использование во всех секторах экономки и в быту. С расширением и п</w:t>
      </w:r>
      <w:r w:rsidRPr="00C03A02">
        <w:rPr>
          <w:rFonts w:ascii="Times New Roman" w:hAnsi="Times New Roman" w:cs="Times New Roman"/>
          <w:sz w:val="28"/>
          <w:szCs w:val="28"/>
        </w:rPr>
        <w:t>оявлением новых направлений электрификации, определяющих более качественное состояние потребительских услуг, технологических инноваций в жилом секторе и сфере услуг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важность  электроэнергии в </w:t>
      </w:r>
      <w:r w:rsidRPr="00C03A02">
        <w:rPr>
          <w:rFonts w:ascii="Times New Roman" w:hAnsi="Times New Roman" w:cs="Times New Roman"/>
          <w:sz w:val="28"/>
          <w:szCs w:val="28"/>
        </w:rPr>
        <w:t xml:space="preserve">обеспечении жизненного комфорта и качества жизни населения.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 существует общепринятого научного определения понятия «качество жизни». Кроме того, широко распространено понятие «уровень жизни». Эти два понятия довольно схожи, хотя имеют определенные различия.  </w:t>
      </w:r>
      <w:r w:rsidRPr="00C03A02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«качество жизни» появляется в середине XX в., когда категория уровень жизни стала недостаточной для всестороннего отражения процесса формирования благосостояния  населения. </w:t>
      </w:r>
      <w:r w:rsidRPr="00C03A02">
        <w:rPr>
          <w:rFonts w:ascii="Times New Roman" w:hAnsi="Times New Roman" w:cs="Times New Roman"/>
          <w:sz w:val="28"/>
          <w:szCs w:val="28"/>
        </w:rPr>
        <w:t>Изначально проблемы обеспечения качества жизни рассматривались в экологическом ключе в связи с проблемами охраны окружающей среды, здоровья человека и общества. В настоящее время  а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 xml:space="preserve">кадемический словарь дает следующее определения этому понятию: </w:t>
      </w:r>
      <w:proofErr w:type="gramStart"/>
      <w:r w:rsidRPr="00C03A02">
        <w:rPr>
          <w:rStyle w:val="w"/>
          <w:rFonts w:ascii="Times New Roman" w:hAnsi="Times New Roman" w:cs="Times New Roman"/>
          <w:sz w:val="28"/>
          <w:szCs w:val="28"/>
        </w:rPr>
        <w:t xml:space="preserve">«Качество жизни  - </w:t>
      </w:r>
      <w:r w:rsidRPr="00C03A02">
        <w:rPr>
          <w:rFonts w:ascii="Times New Roman" w:hAnsi="Times New Roman" w:cs="Times New Roman"/>
          <w:sz w:val="28"/>
          <w:szCs w:val="28"/>
        </w:rPr>
        <w:t> 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социологическая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3A02">
          <w:rPr>
            <w:rStyle w:val="w"/>
            <w:rFonts w:ascii="Times New Roman" w:hAnsi="Times New Roman" w:cs="Times New Roman"/>
            <w:sz w:val="28"/>
            <w:szCs w:val="28"/>
          </w:rPr>
          <w:t>категория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выражающая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03A02">
          <w:rPr>
            <w:rStyle w:val="w"/>
            <w:rFonts w:ascii="Times New Roman" w:hAnsi="Times New Roman" w:cs="Times New Roman"/>
            <w:sz w:val="28"/>
            <w:szCs w:val="28"/>
          </w:rPr>
          <w:t>качество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удовлетворения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материальных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культурных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потребностей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людей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>(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качество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питания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03A02">
          <w:rPr>
            <w:rStyle w:val="w"/>
            <w:rFonts w:ascii="Times New Roman" w:hAnsi="Times New Roman" w:cs="Times New Roman"/>
            <w:iCs/>
            <w:sz w:val="28"/>
            <w:szCs w:val="28"/>
          </w:rPr>
          <w:t>качество</w:t>
        </w:r>
      </w:hyperlink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и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модность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одежды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комфорт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жилища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качество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здравоохранения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образования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сферы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обслуживания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окружающей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среды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3A02">
          <w:rPr>
            <w:rStyle w:val="w"/>
            <w:rFonts w:ascii="Times New Roman" w:hAnsi="Times New Roman" w:cs="Times New Roman"/>
            <w:iCs/>
            <w:sz w:val="28"/>
            <w:szCs w:val="28"/>
          </w:rPr>
          <w:t>структура</w:t>
        </w:r>
      </w:hyperlink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досуга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степень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удовлетворения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потребностей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в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содержательном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общении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знаниях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творческом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труде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уровень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стрессовых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состояний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03A02">
          <w:rPr>
            <w:rStyle w:val="w"/>
            <w:rFonts w:ascii="Times New Roman" w:hAnsi="Times New Roman" w:cs="Times New Roman"/>
            <w:iCs/>
            <w:sz w:val="28"/>
            <w:szCs w:val="28"/>
          </w:rPr>
          <w:t>структура</w:t>
        </w:r>
      </w:hyperlink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расселения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и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iCs/>
          <w:sz w:val="28"/>
          <w:szCs w:val="28"/>
        </w:rPr>
        <w:t>др</w:t>
      </w:r>
      <w:r w:rsidRPr="00C03A02">
        <w:rPr>
          <w:rStyle w:val="a9"/>
          <w:rFonts w:ascii="Times New Roman" w:hAnsi="Times New Roman" w:cs="Times New Roman"/>
          <w:sz w:val="28"/>
          <w:szCs w:val="28"/>
        </w:rPr>
        <w:t>.)</w:t>
      </w:r>
      <w:r w:rsidRPr="00C03A02">
        <w:rPr>
          <w:rFonts w:ascii="Times New Roman" w:hAnsi="Times New Roman" w:cs="Times New Roman"/>
          <w:sz w:val="28"/>
          <w:szCs w:val="28"/>
        </w:rPr>
        <w:t>»</w:t>
      </w:r>
      <w:r w:rsidRPr="00C03A02">
        <w:rPr>
          <w:rFonts w:ascii="TimesNewRoman" w:hAnsi="TimesNewRoman" w:cs="TimesNewRoman"/>
          <w:sz w:val="28"/>
          <w:szCs w:val="28"/>
        </w:rPr>
        <w:t xml:space="preserve"> [1]</w:t>
      </w:r>
      <w:proofErr w:type="gramEnd"/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В</w:t>
      </w:r>
      <w:r w:rsidRPr="00C03A02">
        <w:rPr>
          <w:rFonts w:ascii="TimesNewRoman" w:hAnsi="TimesNewRoman" w:cs="TimesNewRoman"/>
          <w:sz w:val="28"/>
          <w:szCs w:val="28"/>
        </w:rPr>
        <w:t xml:space="preserve"> [2] говорится, что</w:t>
      </w:r>
      <w:r w:rsidRPr="00C03A02">
        <w:rPr>
          <w:rFonts w:ascii="Times New Roman" w:hAnsi="Times New Roman" w:cs="Times New Roman"/>
          <w:sz w:val="28"/>
          <w:szCs w:val="28"/>
        </w:rPr>
        <w:t xml:space="preserve">: «Качество жизни – междисциплинарная категория, характеризующая эффективность всех сторон жизнедеятельности человека, фактический уровень удовлетворения материальных, духовных и социальных потребностей человека, уровень его интеллектуального, культурного и физического развития, степень обеспечения комплексной безопасности жизни с учетом субъективной оценки индивида различных сторон жизни».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жизни носит более абстрактный характер, чем понятие уровня жизни. Безусловно, оно зависит от уровня социально-экономического развития страны, в которой проживает человек, но в то же время во многом каждый человек сам обеспечивает свое качество жизни. Поэтому качество жизни </w:t>
      </w:r>
      <w:proofErr w:type="gramStart"/>
      <w:r w:rsidRPr="00C03A02">
        <w:rPr>
          <w:rFonts w:ascii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C03A02">
        <w:rPr>
          <w:rFonts w:ascii="Times New Roman" w:hAnsi="Times New Roman" w:cs="Times New Roman"/>
          <w:color w:val="000000"/>
          <w:sz w:val="28"/>
          <w:szCs w:val="28"/>
        </w:rPr>
        <w:t>то и философское понятие, связанное с мировоззрением человека.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непосредственно количественную оценку качества жизни населения крайне сложно, т. к. оно интегрирует многие его аспекты. В частности, индивидуальные потребности, которые не фиксируются какими-либо статистическими величинами и практически существуют лишь в сознании людей, в виде их личных мнений и оценок.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объективных показателей качества жизни  в [3] рассматривают следующие:</w:t>
      </w:r>
    </w:p>
    <w:p w:rsidR="008C0A69" w:rsidRPr="00C03A02" w:rsidRDefault="008C0A69" w:rsidP="008C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окружающую среду,</w:t>
      </w:r>
    </w:p>
    <w:p w:rsidR="008C0A69" w:rsidRPr="00C03A02" w:rsidRDefault="008C0A69" w:rsidP="008C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и национальную безопасность,</w:t>
      </w:r>
    </w:p>
    <w:p w:rsidR="008C0A69" w:rsidRPr="00C03A02" w:rsidRDefault="008C0A69" w:rsidP="008C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и экономические свободы,</w:t>
      </w:r>
    </w:p>
    <w:p w:rsidR="008C0A69" w:rsidRPr="00C03A02" w:rsidRDefault="008C0A69" w:rsidP="008C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права на труд, возможность карьерного роста и повышение профессионального и интеллектуального уровня,</w:t>
      </w:r>
    </w:p>
    <w:p w:rsidR="008C0A69" w:rsidRPr="00C03A02" w:rsidRDefault="008C0A69" w:rsidP="008C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демографического роста общества,</w:t>
      </w:r>
    </w:p>
    <w:p w:rsidR="008C0A69" w:rsidRPr="00C03A02" w:rsidRDefault="008C0A69" w:rsidP="008C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жилищных условий,</w:t>
      </w:r>
    </w:p>
    <w:p w:rsidR="008C0A69" w:rsidRPr="00C03A02" w:rsidRDefault="008C0A69" w:rsidP="008C0A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здравоохранения и улучшение системы медицинской помощи населению,</w:t>
      </w:r>
    </w:p>
    <w:p w:rsidR="008C0A69" w:rsidRPr="00C03A02" w:rsidRDefault="008C0A69" w:rsidP="008C0A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продовольствием населения.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Роль электроэнергии в повышении комфорта условий жизни людей наиболее полно отражается на примере электрификации быта отдельного домохозяйства. Использование энергии в этой сфере отвечает как материальным, так и духовным потребностям человека.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С помощью электроэнергии человек готовит пищу, а широкое использование электроплит, микроволновых печей,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мультиварок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электрогрилей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, кухонных комбайнов и т.д. ведет к улучшению санитарно-гигиенических условий в жилищах, повышению уровня автоматизации процессов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пищеприготовления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и широкие возможности регулирования определяют использование электроэнергии для целей отопления и кондиционирования воздуха в помещениях, что </w:t>
      </w:r>
      <w:r w:rsidRPr="00C03A02">
        <w:rPr>
          <w:rFonts w:ascii="Times New Roman" w:hAnsi="Times New Roman" w:cs="Times New Roman"/>
          <w:sz w:val="28"/>
          <w:szCs w:val="28"/>
        </w:rPr>
        <w:t xml:space="preserve">создает комфортный микроклимат в жилище, 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все более широкое распространение получают системы управления инженерными системами дома по сети интернет или мобильному телефону.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Использование компьютеров, телевизоров, ауд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и видеоаппаратуры, планшетов, сотовых телефонов и т.д. способствует получению большого объема информации, совершенствованию знаний и эстетическому наслаждению.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Безопасность членов домохозяйства обеспечивают домофоны, системы предупреждения о технических неисправностях, управления дверей, ворот, шлагбаумов, жалюзи,  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роль-ставнями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отражается в величине расхода электроэнергии на 1 квадратный метр жилой площади (рис.1.). В развитых странах мира рост этого показателя приходился на 70-90 гг. прошлого века, в период роста обеспеченности домохозяйств электроприборами, повышения их благоустройства и комфорта.</w:t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D679B" wp14:editId="528C696B">
                <wp:simplePos x="0" y="0"/>
                <wp:positionH relativeFrom="column">
                  <wp:posOffset>-70844</wp:posOffset>
                </wp:positionH>
                <wp:positionV relativeFrom="paragraph">
                  <wp:posOffset>2651029</wp:posOffset>
                </wp:positionV>
                <wp:extent cx="5692775" cy="646981"/>
                <wp:effectExtent l="0" t="0" r="3175" b="127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646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69" w:rsidRPr="000F33FC" w:rsidRDefault="008C0A69" w:rsidP="008C0A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Источник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95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рассчитано по</w:t>
                            </w:r>
                            <w:r w:rsidRPr="0095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4-8</w:t>
                            </w:r>
                            <w:r w:rsidRPr="00956E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0A69" w:rsidRPr="00B67FF1" w:rsidRDefault="008C0A69" w:rsidP="008C0A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A0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1.</w:t>
                            </w:r>
                            <w:r w:rsidRPr="00C03A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Изменение удельного расхода электроэнергии в жилых домах в отдельных странах мира</w:t>
                            </w:r>
                            <w:r w:rsidRPr="00B67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5.6pt;margin-top:208.75pt;width:448.25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JplwIAAIoFAAAOAAAAZHJzL2Uyb0RvYy54bWysVMFu2zAMvQ/YPwi6r06yJG2COkXWosOA&#10;oi3WDj0rstQYk0RNUmJnP9Ov2GnAviGfNEq2k6zrpcMutiQ+kuLTI0/Paq3IWjhfgslp/6hHiTAc&#10;itI85vTL/eW7E0p8YKZgCozI6UZ4ejZ7++a0slMxgCWoQjiCQYyfVjanyxDsNMs8XwrN/BFYYdAo&#10;wWkWcOses8KxCqNrlQ16vXFWgSusAy68x9OLxkhnKb6UgocbKb0IROUU7xbS16XvIn6z2SmbPjpm&#10;lyVvr8H+4RaalQaT7kJdsMDIypV/hdIld+BBhiMOOgMpSy5SDVhNv/esmrslsyLVguR4u6PJ/7+w&#10;/Hp960hZ5HREiWEan2j7tP21/bn9QUaRncr6KYLuLMJC/QFqfOXu3ONhLLqWTsc/lkPQjjxvdtyK&#10;OhCOh6PxZHB8jEk42sbD8eQkhcn23tb58FGAJnGRU4dvlyhl6ysf8CYI7SAxmQdVFpelUmkT9SLO&#10;lSNrhi+tQhf8D5QypMLk70e9FNhAdG8iKxPDiKSYNl2svKkwrcJGiYhR5rOQyFgq9IXcjHNhdvkT&#10;OqIkpnqNY4vf3+o1zk0d6JEygwk7Z10acKn61GJ7yoqvHWWywSPhB3XHZagXdauIBRQbFISDpqG8&#10;5ZclvtoV8+GWOewg1ABOhXCDH6kAWYd2RckS3PeXziMehY1WSirsyJz6byvmBCXqk0HJT/rDYWzh&#10;tBmOjge4cYeWxaHFrPQ5oBT6OH8sT8uID6pbSgf6AYfHPGZFEzMcc+c0dMvz0MwJHD5czOcJhE1r&#10;Wbgyd5bH0JHeqMn7+oE52wo3oOSvoetdNn2m3wYbPQ3MVwFkmcQdCW5YbYnHhk+ab4dTnCiH+4Ta&#10;j9DZbwAAAP//AwBQSwMEFAAGAAgAAAAhAJZ7tDfjAAAACwEAAA8AAABkcnMvZG93bnJldi54bWxM&#10;j8tOwzAQRfdI/IM1SGxQ67hpaAiZVAjxkNjRtCB2bmySiHgcxW4S/h6zguXoHt17Jt/OpmOjHlxr&#10;CUEsI2CaKqtaqhH25eMiBea8JCU7SxrhWzvYFudnucyUnehVjztfs1BCLpMIjfd9xrmrGm2kW9pe&#10;U8g+7WCkD+dQczXIKZSbjq+i6Job2VJYaGSv7xtdfe1OBuHjqn5/cfPTYYqTuH94HsvNmyoRLy/m&#10;u1tgXs/+D4Zf/aAORXA62hMpxzqEhRCrgCKsxSYBFog0TWJgR4RE3KyBFzn//0PxAwAA//8DAFBL&#10;AQItABQABgAIAAAAIQC2gziS/gAAAOEBAAATAAAAAAAAAAAAAAAAAAAAAABbQ29udGVudF9UeXBl&#10;c10ueG1sUEsBAi0AFAAGAAgAAAAhADj9If/WAAAAlAEAAAsAAAAAAAAAAAAAAAAALwEAAF9yZWxz&#10;Ly5yZWxzUEsBAi0AFAAGAAgAAAAhAC71ImmXAgAAigUAAA4AAAAAAAAAAAAAAAAALgIAAGRycy9l&#10;Mm9Eb2MueG1sUEsBAi0AFAAGAAgAAAAhAJZ7tDfjAAAACwEAAA8AAAAAAAAAAAAAAAAA8QQAAGRy&#10;cy9kb3ducmV2LnhtbFBLBQYAAAAABAAEAPMAAAABBgAAAAA=&#10;" fillcolor="white [3201]" stroked="f" strokeweight=".5pt">
                <v:textbox>
                  <w:txbxContent>
                    <w:p w:rsidR="008C0A69" w:rsidRPr="000F33FC" w:rsidRDefault="008C0A69" w:rsidP="008C0A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5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Источник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95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рассчитано по</w:t>
                      </w:r>
                      <w:r w:rsidRPr="0095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[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4-8</w:t>
                      </w:r>
                      <w:r w:rsidRPr="00956E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0A69" w:rsidRPr="00B67FF1" w:rsidRDefault="008C0A69" w:rsidP="008C0A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3A0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Рис. 1.</w:t>
                      </w:r>
                      <w:r w:rsidRPr="00C03A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Изменение удельного расхода электроэнергии в жилых домах в отдельных странах мира</w:t>
                      </w:r>
                      <w:r w:rsidRPr="00B67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B50BFA" wp14:editId="0F997B6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Default="008C0A69" w:rsidP="008C0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Pr="00C03A02" w:rsidRDefault="008C0A69" w:rsidP="008C0A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Заметное снижение удельного расхода электроэнергии в последние годы в развитых странах связано с повышением эффективности ее применения, снижением потерь, заменой старых электроприборов на новые с низким потреблением электроэнергии. </w:t>
      </w:r>
    </w:p>
    <w:p w:rsidR="008C0A69" w:rsidRPr="00C03A02" w:rsidRDefault="008C0A69" w:rsidP="008C0A6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Применение в быту возрастающей номенклатуры электроприборов различного назначения позволяет значительно улучшить условия жизни, оздоровить гигиеническую обстановку в помещениях, повысить культурно-образовательный уровень населения и безопасность, сократить затраты времени и сил на ведение домашнего хозяйства. </w:t>
      </w:r>
      <w:r w:rsidRPr="00C03A0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существующие прогнозы показывают, что в перспективе электроэнергия становится еще более важным источником энергии в потреблении домохозяйств. Доля электроэнергии в суммарном потреблении энергоресурсов  домохозяйствами в мире согласно [9] возрастает с 39% в 2012 г. до 43% в 2040 г., более того, после 2025 г. электроэнергия становится лидирующим энергоносителем, доля которого опережает долю газа. 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Сфера услуг включает в себя огромное количество предприятий и организаций, различных типов и видов деятельности: финансы, образование, торговля, общественное питание, здравоохранение, культура, спорт, и т.д. (сюда же относится и потребление электроэнергии на нужды  уличного освещения, городского водопровода и канализации).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Высокий уровень развития экономики и доходов  населения (свободных) ведет к увеличению потребности в отелях и ресторанах (как для деловых встреч, так и для досуга), помещений для офисов и розничной торговли, культурных (театры, галереи, музеи) и спортивных помещений (стадионы, бассейны, спортивные комплексы) [10].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color w:val="000000"/>
          <w:sz w:val="28"/>
          <w:szCs w:val="28"/>
        </w:rPr>
        <w:t xml:space="preserve">Уже сейчас во всем мире в сфере услуг электроэнергия является предпочтительным источником энергии. В 2012 г. доля ее в структуре энергопотребления этой сферы составляла около 53% и согласно базовому </w:t>
      </w:r>
      <w:r w:rsidRPr="00C03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сценарию в</w:t>
      </w:r>
      <w:r w:rsidRPr="00C03A02">
        <w:rPr>
          <w:rFonts w:cs="Whitney Book"/>
          <w:color w:val="000000"/>
          <w:sz w:val="28"/>
          <w:szCs w:val="28"/>
        </w:rPr>
        <w:t xml:space="preserve"> </w:t>
      </w:r>
      <w:r w:rsidRPr="00C03A02">
        <w:rPr>
          <w:rFonts w:ascii="Times New Roman" w:hAnsi="Times New Roman" w:cs="Times New Roman"/>
          <w:color w:val="000000"/>
          <w:sz w:val="28"/>
          <w:szCs w:val="28"/>
        </w:rPr>
        <w:t xml:space="preserve">[9] предполагается, что доля ее к 2040 г. вырастит до 62% </w:t>
      </w:r>
      <w:r w:rsidRPr="00C03A02">
        <w:rPr>
          <w:rFonts w:ascii="Times New Roman" w:hAnsi="Times New Roman" w:cs="Times New Roman"/>
          <w:sz w:val="28"/>
          <w:szCs w:val="28"/>
        </w:rPr>
        <w:t>(табл.1).</w:t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Таблица 1</w:t>
      </w:r>
    </w:p>
    <w:p w:rsidR="008C0A69" w:rsidRPr="006B264E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264E">
        <w:rPr>
          <w:rFonts w:ascii="Times New Roman" w:hAnsi="Times New Roman" w:cs="Times New Roman"/>
          <w:sz w:val="28"/>
          <w:szCs w:val="28"/>
        </w:rPr>
        <w:t>Рост доли электроэнергии в суммарном энергопотреблении домохозяйствами и сферой услуг в разных странах</w:t>
      </w:r>
    </w:p>
    <w:p w:rsidR="008C0A69" w:rsidRPr="008A2E38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432"/>
        <w:gridCol w:w="1328"/>
        <w:gridCol w:w="1149"/>
        <w:gridCol w:w="1360"/>
        <w:gridCol w:w="1223"/>
        <w:gridCol w:w="1115"/>
      </w:tblGrid>
      <w:tr w:rsidR="008C0A69" w:rsidRPr="008A2E38" w:rsidTr="004C0D62">
        <w:tc>
          <w:tcPr>
            <w:tcW w:w="1964" w:type="dxa"/>
            <w:vMerge w:val="restart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3909" w:type="dxa"/>
            <w:gridSpan w:val="3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Домохозяйства</w:t>
            </w:r>
          </w:p>
        </w:tc>
        <w:tc>
          <w:tcPr>
            <w:tcW w:w="3698" w:type="dxa"/>
            <w:gridSpan w:val="3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</w:tr>
      <w:tr w:rsidR="008C0A69" w:rsidRPr="008A2E38" w:rsidTr="004C0D62">
        <w:tc>
          <w:tcPr>
            <w:tcW w:w="1964" w:type="dxa"/>
            <w:vMerge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2040 г.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1973 г.</w:t>
            </w:r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2040 г.</w:t>
            </w:r>
          </w:p>
        </w:tc>
      </w:tr>
      <w:tr w:rsidR="008C0A69" w:rsidRPr="008A2E38" w:rsidTr="004C0D62">
        <w:tc>
          <w:tcPr>
            <w:tcW w:w="196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Европейские страны ОЭСР</w:t>
            </w:r>
            <w:r w:rsidRPr="00065F2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8C0A69" w:rsidRPr="008A2E38" w:rsidTr="004C0D62">
        <w:tc>
          <w:tcPr>
            <w:tcW w:w="196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8C0A69" w:rsidRPr="008A2E38" w:rsidTr="004C0D62">
        <w:tc>
          <w:tcPr>
            <w:tcW w:w="196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C0A69" w:rsidRPr="008A2E38" w:rsidTr="004C0D62">
        <w:tc>
          <w:tcPr>
            <w:tcW w:w="196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8C0A69" w:rsidRPr="008A2E38" w:rsidTr="004C0D62">
        <w:tc>
          <w:tcPr>
            <w:tcW w:w="196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32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Н.д</w:t>
            </w:r>
            <w:proofErr w:type="spellEnd"/>
          </w:p>
        </w:tc>
        <w:tc>
          <w:tcPr>
            <w:tcW w:w="1328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49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60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Н.д</w:t>
            </w:r>
            <w:proofErr w:type="spellEnd"/>
          </w:p>
        </w:tc>
        <w:tc>
          <w:tcPr>
            <w:tcW w:w="1223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115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</w:tbl>
    <w:p w:rsidR="008C0A69" w:rsidRPr="00956E27" w:rsidRDefault="008C0A69" w:rsidP="008C0A6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Источник: рассчитано по</w:t>
      </w:r>
      <w:r w:rsidRPr="008A2E38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4</w:t>
      </w:r>
      <w:r w:rsidRPr="00956E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56E27">
        <w:rPr>
          <w:rFonts w:ascii="Times New Roman" w:hAnsi="Times New Roman" w:cs="Times New Roman"/>
        </w:rPr>
        <w:t>]</w:t>
      </w:r>
    </w:p>
    <w:p w:rsidR="008C0A69" w:rsidRPr="00956E27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типах зданий в этой сфере в большей или меньшей степени электроэнергия используется на цели отопления и кондиционирования. Огромную помощь в делопроизводстве оказывают компьютеры, факсы, принтеры, сканеры</w:t>
      </w:r>
      <w:r w:rsidRPr="00C03A02">
        <w:rPr>
          <w:sz w:val="28"/>
          <w:szCs w:val="28"/>
        </w:rPr>
        <w:t xml:space="preserve">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офисные автоматические телефонные станции и т.д. Кроме перечисленных видов оборудования, в </w:t>
      </w:r>
      <w:r w:rsidRPr="00C03A02">
        <w:rPr>
          <w:rFonts w:ascii="Times New Roman" w:hAnsi="Times New Roman" w:cs="Times New Roman"/>
          <w:sz w:val="28"/>
          <w:szCs w:val="28"/>
        </w:rPr>
        <w:t>торговле и общественном питании имеется  значительный набор холодильного и морозильного оборудования, а также различные виды печей и мини-пекарни.  Спортивные и развлекательные центры имеют в своем составе сауны, бассейны с системами подогрева и очистки воды, датчиками контроля влажности, температуры и содержания СО</w:t>
      </w:r>
      <w:proofErr w:type="gramStart"/>
      <w:r w:rsidRPr="00C03A0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03A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hAnsi="Times New Roman" w:cs="Times New Roman"/>
          <w:sz w:val="28"/>
          <w:szCs w:val="28"/>
        </w:rPr>
        <w:t>Достаточно широко применяется электроэнергия в медицине.  Использование новых способов диагностики с применением высокоточного и многофункционального диагностического оборудования (э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лектроэнцефалография, электрокардиография, электрогастрография, </w:t>
      </w:r>
      <w:r w:rsidRPr="00C03A02">
        <w:rPr>
          <w:rFonts w:ascii="Times New Roman" w:hAnsi="Times New Roman" w:cs="Times New Roman"/>
          <w:sz w:val="28"/>
          <w:szCs w:val="28"/>
        </w:rPr>
        <w:t xml:space="preserve"> компьютерный томограф, </w:t>
      </w:r>
      <w:proofErr w:type="spellStart"/>
      <w:proofErr w:type="gramStart"/>
      <w:r w:rsidRPr="00C03A02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-резонансный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томограф и т.д.) дало возможность ранней диагностики заболеваний,  мониторинга состояния больного и выбора адекватного развитию заболевания способов лечения. Многие электрические аппараты используются для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 (дефибриллятор сердечного ритма)</w:t>
      </w:r>
      <w:r w:rsidRPr="00C03A02">
        <w:rPr>
          <w:rFonts w:ascii="Times New Roman" w:hAnsi="Times New Roman" w:cs="Times New Roman"/>
          <w:sz w:val="28"/>
          <w:szCs w:val="28"/>
        </w:rPr>
        <w:t>, л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ечения, а  также для реабилитации после тяжелых заболеваний (электрокардиостимуляторы). Также электричество активно используется во время физиотерапевтических процедур (электрофорез, лазер), направленных на рост костей, избавление от хронической боли, улучшение слуха, и т.д. [11]. С развитием интернета появилась возможность удаленной консультации с ведущими специалистами. </w:t>
      </w:r>
    </w:p>
    <w:p w:rsidR="008C0A69" w:rsidRPr="00C03A02" w:rsidRDefault="008C0A69" w:rsidP="008C0A6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A02">
        <w:rPr>
          <w:sz w:val="28"/>
          <w:szCs w:val="28"/>
        </w:rPr>
        <w:t xml:space="preserve">Важным показателем качества жизни является и комфортная и безопасная  среда городов и поселков их улиц и дорог. Повышение уровня уличной освещенности наряду с применением  различных систем </w:t>
      </w:r>
      <w:r w:rsidRPr="00C03A02">
        <w:rPr>
          <w:sz w:val="28"/>
          <w:szCs w:val="28"/>
        </w:rPr>
        <w:lastRenderedPageBreak/>
        <w:t xml:space="preserve">регулирования и наблюдения на дорогах (светофоры, радары), оповещения и безопасности (видеокамеры, детекторы движения, </w:t>
      </w:r>
      <w:proofErr w:type="spellStart"/>
      <w:r w:rsidRPr="00C03A02">
        <w:rPr>
          <w:sz w:val="28"/>
          <w:szCs w:val="28"/>
        </w:rPr>
        <w:t>дымо</w:t>
      </w:r>
      <w:proofErr w:type="spellEnd"/>
      <w:r w:rsidRPr="00C03A02">
        <w:rPr>
          <w:sz w:val="28"/>
          <w:szCs w:val="28"/>
        </w:rPr>
        <w:t xml:space="preserve">- и газоанализаторы, ситуационные центры и т.д.) позволяют снизить аварийность на дорогах, увеличить скорость реагирования при чрезвычайных ситуациях и повысить безопасность граждан.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достижений компьютерной и информационной технологий  в жизни населения позволяет расширить образовательные, культурные, физиологические возможности человека, </w:t>
      </w:r>
      <w:r w:rsidRPr="00C03A02">
        <w:rPr>
          <w:rFonts w:ascii="Times New Roman" w:hAnsi="Times New Roman" w:cs="Times New Roman"/>
          <w:sz w:val="28"/>
          <w:szCs w:val="28"/>
        </w:rPr>
        <w:t xml:space="preserve">способствует личностному росту, развитию творческих способностей,  повышению уровня образования и физического здоровья, а также увеличению средней продолжительности жизни. 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Несомненно, для этого необходим высокий уровень развития экономики. Зависимость душевого электропотребления в непроизводственной сфере разных стран от развития их экономики,  выраженного количеством ВВП, приходящимся на одного жителя страны, показано на рис. 2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мировой тенденцией является увеличение душевого потребления электроэнергии с ростом экономического развития.</w:t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AC4E6F" wp14:editId="794A0137">
            <wp:extent cx="4718650" cy="3010619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979F" wp14:editId="2F6D86F4">
                <wp:simplePos x="0" y="0"/>
                <wp:positionH relativeFrom="column">
                  <wp:posOffset>92710</wp:posOffset>
                </wp:positionH>
                <wp:positionV relativeFrom="paragraph">
                  <wp:posOffset>114935</wp:posOffset>
                </wp:positionV>
                <wp:extent cx="5692775" cy="1026160"/>
                <wp:effectExtent l="0" t="0" r="3175" b="25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77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69" w:rsidRDefault="008C0A69" w:rsidP="008C0A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69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Примечание: Представленный период для России 1990-2040 гг., для Китая – 2010-2040 гг., для остальных стран 1973-2040 гг.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(базовый сценарий)</w:t>
                            </w:r>
                          </w:p>
                          <w:p w:rsidR="008C0A69" w:rsidRPr="00EE272B" w:rsidRDefault="008C0A69" w:rsidP="008C0A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Источники</w:t>
                            </w:r>
                            <w:r w:rsidRPr="00EE2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рассчитано по </w:t>
                            </w:r>
                            <w:r w:rsidRPr="00EE2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EE2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EE2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0A69" w:rsidRPr="00C03A02" w:rsidRDefault="008C0A69" w:rsidP="008C0A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3A0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2.</w:t>
                            </w:r>
                            <w:r w:rsidRPr="00C03A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Взаимосвязь душевого электропотребления в непроизводственной сфере и душевого ВВП в разных странах мира.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.3pt;margin-top:9.05pt;width:448.2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knAIAAJIFAAAOAAAAZHJzL2Uyb0RvYy54bWysVM1OGzEQvlfqO1i+l00CCSVig1IQVSUE&#10;qFBxdrw2sWp7XNvJbvoyPEVPlfoMeaSOvZufUi5Uvezanm9mPJ+/mdOzxmiyFD4osCXtH/QoEZZD&#10;pexjSb/cX757T0mIzFZMgxUlXYlAzyZv35zWbiwGMAddCU8wiA3j2pV0HqMbF0Xgc2FYOAAnLBol&#10;eMMibv1jUXlWY3Sji0GvNypq8JXzwEUIeHrRGukkx5dS8HgjZRCR6JLi3WL++vydpW8xOWXjR8/c&#10;XPHuGuwfbmGYsph0G+qCRUYWXv0VyijuIYCMBxxMAVIqLnINWE2/96yauzlzIteC5AS3pSn8v7D8&#10;ennriapKekiJZQafaP20/rX+uf5BDhM7tQtjBN05hMXmAzT4ypvzgIep6EZ6k/5YDkE78rzaciua&#10;SDgeDkcng+PjISUcbf3eYNQfZfaLnbvzIX4UYEhalNTj42VO2fIqRLwKQjeQlC2AVtWl0jpvkmDE&#10;ufZkyfCpdcyXRI8/UNqSuqSjw2EvB7aQ3NvI2qYwIkumS5dKb0vMq7jSImG0/SwkUpYrfSE341zY&#10;bf6MTiiJqV7j2OF3t3qNc1sHeuTMYOPW2SgLPlefe2xHWfV1Q5ls8Uj4Xt1pGZtZk7WyVcAMqhUK&#10;w0PbWMHxS4WPd8VCvGUeOwm1gNMh3uBHakDyoVtRMgf//aXzhEeBo5WSGjuzpOHbgnlBif5kUfon&#10;/aOj1Mp5czQ8HuDG71tm+xa7MOeAiujjHHI8LxM+6s1SejAPOESmKSuamOWYu6RxszyP7bzAIcTF&#10;dJpB2LyOxSt753gKnVhO0rxvHph3nX4jSv8aNj3Mxs9k3GKTp4XpIoJUWeOJ55bVjn9s/Cz9bkil&#10;ybK/z6jdKJ38BgAA//8DAFBLAwQUAAYACAAAACEAEpFLvN8AAAAJAQAADwAAAGRycy9kb3ducmV2&#10;LnhtbExPy07DMBC8I/EP1lbigqgTSps2xKkQ4iFxo+Ehbm68TSLidRS7Sfh7lhM97c7OaGY22062&#10;FQP2vnGkIJ5HIJBKZxqqFLwVj1drED5oMrp1hAp+0MM2Pz/LdGrcSK847EIl2IR8qhXUIXSplL6s&#10;0Wo/dx0ScwfXWx0Y9pU0vR7Z3LbyOopW0uqGOKHWHd7XWH7vjlbB12X1+eKnp/dxsVx0D89DkXyY&#10;QqmL2XR3CyLgFP7F8Fefq0POnfbuSMaLlvHNipU81zEI5jdxzMueD8kmAZln8vSD/BcAAP//AwBQ&#10;SwECLQAUAAYACAAAACEAtoM4kv4AAADhAQAAEwAAAAAAAAAAAAAAAAAAAAAAW0NvbnRlbnRfVHlw&#10;ZXNdLnhtbFBLAQItABQABgAIAAAAIQA4/SH/1gAAAJQBAAALAAAAAAAAAAAAAAAAAC8BAABfcmVs&#10;cy8ucmVsc1BLAQItABQABgAIAAAAIQAyaBbknAIAAJIFAAAOAAAAAAAAAAAAAAAAAC4CAABkcnMv&#10;ZTJvRG9jLnhtbFBLAQItABQABgAIAAAAIQASkUu83wAAAAkBAAAPAAAAAAAAAAAAAAAAAPYEAABk&#10;cnMvZG93bnJldi54bWxQSwUGAAAAAAQABADzAAAAAgYAAAAA&#10;" fillcolor="white [3201]" stroked="f" strokeweight=".5pt">
                <v:textbox>
                  <w:txbxContent>
                    <w:p w:rsidR="008C0A69" w:rsidRDefault="008C0A69" w:rsidP="008C0A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69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Примечание: Представленный период для России 1990-2040 гг., для Китая – 2010-2040 гг., для остальных стран 1973-2040 гг.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(базовый сценарий)</w:t>
                      </w:r>
                    </w:p>
                    <w:p w:rsidR="008C0A69" w:rsidRPr="00EE272B" w:rsidRDefault="008C0A69" w:rsidP="008C0A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Источники</w:t>
                      </w:r>
                      <w:r w:rsidRPr="00EE2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рассчитано по </w:t>
                      </w:r>
                      <w:r w:rsidRPr="00EE2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EE2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EE27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C0A69" w:rsidRPr="00C03A02" w:rsidRDefault="008C0A69" w:rsidP="008C0A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03A0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Рис. 2.</w:t>
                      </w:r>
                      <w:r w:rsidRPr="00C03A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Взаимосвязь душевого электропотребления в непроизводственной сфере и душевого ВВП в разных странах мира.</w:t>
                      </w:r>
                    </w:p>
                  </w:txbxContent>
                </v:textbox>
              </v:shape>
            </w:pict>
          </mc:Fallback>
        </mc:AlternateContent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десятилетия современное общество, в первую очередь в высокоразвитых странах,  уделяет повышенное внимание  интересам отдельного человека,  улучшению среды его обитания. Во многом дальнейшее повышение качества жизни населения связывают с широким распространением концепции </w:t>
      </w:r>
      <w:r w:rsidRPr="00C03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 «умные» города, «умные»  системы энергоснабжения, «умные» дома и т.д.,  направленные на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комфорта, удобства и качества предоставляемых услуг, а также возможность потребителя самостоятельно управлять своим энергопотреблением. Отличительной чертой этой концепции является широкое использование информационно-коммуникационных технологий [13]. </w:t>
      </w:r>
      <w:r w:rsidRPr="00C03A02">
        <w:rPr>
          <w:rFonts w:ascii="Times New Roman" w:hAnsi="Times New Roman" w:cs="Times New Roman"/>
          <w:sz w:val="28"/>
          <w:szCs w:val="28"/>
        </w:rPr>
        <w:t>Она включает: интеллектуальные приборы учета и передачи показаний, автоматизированные информационные базы и банки данных, вычислительные центры, автоматизированные системы управления, видеотерминалы, общегосударственные информационные системы, системы спутниковой и скоростной волокнисто-оптической связи - все это неограниченно расширяет сферу использования электроэнергии.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</w:t>
      </w:r>
      <w:proofErr w:type="gram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 на человека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находится в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непрерывном развитии при постоянном учете требований экологической и экономической устойчивости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базируется на инфраструктуре </w:t>
      </w:r>
      <w:r w:rsidRPr="00C03A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информационно-коммуникационных технологий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составляющим "умный" город технологиям относятся высокоскоростные оптические, сенсорные, проводные и беспроводные сети, необходимые для реализации таких преимуществ, как обеспечиваемые благодаря интеллектуальным транспортным системам, "умным" электросетям и организации домашних сетей.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[14]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3A02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</w:rPr>
        <w:t>Умный»</w:t>
      </w:r>
      <w:r w:rsidRPr="00C03A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дом 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жилой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автоматизированный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дом</w:t>
        </w:r>
      </w:hyperlink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современного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организованный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удобства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проживания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высокотехнологичных</w:t>
        </w:r>
      </w:hyperlink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устройств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Важной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особенностью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свойством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много»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прогрессивная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жилым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пространством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одной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командой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задает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желаемую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обстановку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автоматика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внешними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внутренними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условиями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задает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отслеживает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режимы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инженерных</w:t>
        </w:r>
        <w:r w:rsidRPr="00C03A0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систем</w:t>
        </w:r>
      </w:hyperlink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электроприборов</w:t>
        </w:r>
      </w:hyperlink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Электронные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бытовые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приборы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умном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объединены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домашнюю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proofErr w:type="spellStart"/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Universal</w:t>
        </w:r>
        <w:proofErr w:type="spellEnd"/>
        <w:r w:rsidRPr="00C03A0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Plug</w:t>
        </w:r>
        <w:r w:rsidRPr="00C03A0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’</w:t>
        </w:r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n</w:t>
        </w:r>
        <w:r w:rsidRPr="00C03A0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’</w:t>
        </w:r>
        <w:r w:rsidRPr="00C03A0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Play</w:t>
        </w:r>
        <w:proofErr w:type="spellEnd"/>
        <w:proofErr w:type="gramEnd"/>
      </w:hyperlink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Pr="00C03A0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сеть</w:t>
      </w:r>
      <w:r w:rsidRPr="00C03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с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возможностью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выхода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сети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общего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Style w:val="w"/>
          <w:rFonts w:ascii="Times New Roman" w:hAnsi="Times New Roman" w:cs="Times New Roman"/>
          <w:sz w:val="28"/>
          <w:szCs w:val="28"/>
        </w:rPr>
        <w:t>пользования</w:t>
      </w:r>
      <w:r w:rsidRPr="00C03A02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время, в связи с экологическими проблемами, дефицитом ископаемого топлива в отдельных районах, п</w:t>
      </w:r>
      <w:r w:rsidRPr="00C03A02">
        <w:rPr>
          <w:rFonts w:ascii="Times New Roman" w:hAnsi="Times New Roman" w:cs="Times New Roman"/>
          <w:sz w:val="28"/>
          <w:szCs w:val="28"/>
        </w:rPr>
        <w:t>овышением качества жизни, особенно жителей децентрализованных поселений,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целесообразным вырабатывать электроэнергию, используя ветроэнергетические установки или солнечные батареи, устанавливаемые совместно с накопителями энерг</w:t>
      </w:r>
      <w:proofErr w:type="gram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тдельных потребителей.</w:t>
      </w:r>
      <w:r w:rsidRPr="00C03A02">
        <w:rPr>
          <w:rFonts w:ascii="Times New Roman" w:hAnsi="Times New Roman" w:cs="Times New Roman"/>
          <w:sz w:val="28"/>
          <w:szCs w:val="28"/>
        </w:rPr>
        <w:t xml:space="preserve"> В некоторых государствах, например в Германии, приняты специальные программы, поощряющие инвестиции в производство электроэнергии домохозяйствами.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за 1990-2014 гг. электропотребление населением и сферой услуг увеличилось в 1,6 раза.  Рост использования электроэнергии в домохозяйствах в 90-х годах прошлого века был в основном связан с появлением в продаже большого количества импортных  электроприборов (табл. 2).</w:t>
      </w:r>
      <w:r w:rsidRPr="00C03A02">
        <w:rPr>
          <w:rFonts w:ascii="Times New Roman" w:hAnsi="Times New Roman" w:cs="Times New Roman"/>
          <w:sz w:val="28"/>
          <w:szCs w:val="28"/>
        </w:rPr>
        <w:t xml:space="preserve"> Дальнейшее замедление темпов прироста вызнано насыщением основными их видами. В России в 2014 г. на 100 домохозяй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иходилось: 257 мобильных телефонов, 183 телевизора, 128 холодильников и морозильников, 103 стиральные машины, 113 персональных компьютеров, 96 </w:t>
      </w:r>
      <w:r w:rsidRPr="00C03A02">
        <w:rPr>
          <w:rFonts w:ascii="Times New Roman" w:hAnsi="Times New Roman" w:cs="Times New Roman"/>
          <w:sz w:val="28"/>
          <w:szCs w:val="28"/>
        </w:rPr>
        <w:lastRenderedPageBreak/>
        <w:t xml:space="preserve">электропылесосов, 20 кондиционеров, 8 посудомоечных машин [15].  Несмотря на значительно возросшую обеспеченность электроприборами российского быта, она все еще значительно уступает развитым странам. 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Японии в 2013 г. обеспеченность составляла: телевизорами – 240 шт., электропылесосами – 146 шт., персональными компьютерами  - 130 шт., кондиционерами – 275 шт., посудомоечными машинами – 30 [16].</w:t>
      </w:r>
      <w:proofErr w:type="gram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Кроме того, там используется огромное количество мелких бытовых приборов (около 100), номенклатура которых постоянно увеличивается. Новые бытовые приборы в большей мере соответствуют высоким стандартам эффективности использования энергии. Однако, эффект от использования новых приборов с меньшим энергопотребление частично компенсируется увеличением количества новых видов и увеличением их средних размеров.</w:t>
      </w:r>
    </w:p>
    <w:p w:rsidR="008C0A69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C03A0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C0A69" w:rsidRPr="006B264E" w:rsidRDefault="008C0A69" w:rsidP="008C0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Динамика ежегодных темпов прироста электропотребления в домашних хозяйствах и сфере услуг в России за 1990-2035 гг., %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7"/>
        <w:gridCol w:w="1914"/>
        <w:gridCol w:w="1914"/>
        <w:gridCol w:w="1914"/>
      </w:tblGrid>
      <w:tr w:rsidR="008C0A69" w:rsidRPr="00C03A02" w:rsidTr="004C0D62"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Сфера применения</w:t>
            </w:r>
          </w:p>
        </w:tc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1990-2000 гг.</w:t>
            </w:r>
          </w:p>
        </w:tc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2001-2014 гг.</w:t>
            </w:r>
          </w:p>
        </w:tc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2015-2035 гг.</w:t>
            </w:r>
          </w:p>
        </w:tc>
      </w:tr>
      <w:tr w:rsidR="008C0A69" w:rsidRPr="00C03A02" w:rsidTr="004C0D62"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Домохозяйства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C0A69" w:rsidRPr="00C03A02" w:rsidTr="004C0D62">
        <w:tc>
          <w:tcPr>
            <w:tcW w:w="1914" w:type="dxa"/>
          </w:tcPr>
          <w:p w:rsidR="008C0A69" w:rsidRPr="00C03A02" w:rsidRDefault="008C0A69" w:rsidP="004C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14" w:type="dxa"/>
            <w:vAlign w:val="bottom"/>
          </w:tcPr>
          <w:p w:rsidR="008C0A69" w:rsidRPr="00C03A02" w:rsidRDefault="008C0A69" w:rsidP="004C0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A0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C0A69" w:rsidRPr="007755A5" w:rsidRDefault="008C0A69" w:rsidP="008C0A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55A5">
        <w:rPr>
          <w:rFonts w:ascii="Times New Roman" w:hAnsi="Times New Roman" w:cs="Times New Roman"/>
          <w:sz w:val="20"/>
          <w:szCs w:val="20"/>
        </w:rPr>
        <w:t>Источник: рас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7755A5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 xml:space="preserve">итано по </w:t>
      </w:r>
      <w:r w:rsidRPr="007755A5">
        <w:rPr>
          <w:rFonts w:ascii="Times New Roman" w:hAnsi="Times New Roman" w:cs="Times New Roman"/>
          <w:sz w:val="20"/>
          <w:szCs w:val="20"/>
        </w:rPr>
        <w:t>[</w:t>
      </w:r>
      <w:r w:rsidRPr="009177F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755A5">
        <w:rPr>
          <w:rFonts w:ascii="Times New Roman" w:hAnsi="Times New Roman" w:cs="Times New Roman"/>
          <w:sz w:val="20"/>
          <w:szCs w:val="20"/>
        </w:rPr>
        <w:t>]</w:t>
      </w:r>
    </w:p>
    <w:p w:rsidR="008C0A69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Увеличение потребления в сфере услуг в 2000-2014 гг. было связано с опережающим ростом современных электроемких объектов: банков и других финансовых учреждений, отелей, развлекательных и физкультурных центров, а также реконструкцией предприятий традиционных направлений в целях повышения их технического уровня и роста качества услуг [17]. 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 2014 г. душевое</w:t>
      </w:r>
      <w:r w:rsidRPr="00C03A02">
        <w:rPr>
          <w:rFonts w:ascii="Times New Roman" w:hAnsi="Times New Roman" w:cs="Times New Roman"/>
          <w:sz w:val="28"/>
          <w:szCs w:val="28"/>
        </w:rPr>
        <w:t xml:space="preserve"> электропотребление составило в домохозяйствах 999,3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/чел, в сфере услуг – 901,6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/чел. В 2013 г. в европейских странах ОСЭР  этот показатель был выше в 1,6 раза, в Японии более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чем в 2 раза, в США  более, чем в 4 раза.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свидетельствует о значительных перспективах роста электропотребления населением и сферой услуг с дальнейшим развитием экономики и повышением уровня и качества жизни населения в России. </w:t>
      </w:r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Новая парадигма электроснабжения, продекларированная в разрабатываемой Энергетической стратегии России до 2035 года,  направлена на обеспечение качественного соответствия потребительских услуг и используемых энергоносителей, она  принципиально отличается от ранее действовавших целевых установок, которые в большей мере были ориентированы на количественное удовлетворение баланса спроса и предложения. Существенную значимость приобретает уровень комфорта, повышение разнообразия и мощности приборов и других приемников электроэнергии, технологические инновации, как в производственной сфере, так и в быту. При этом качество и уровень жизни все больше будут определяться эффективностью использования энергии. 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 xml:space="preserve">Активно будет </w:t>
      </w:r>
      <w:r w:rsidRPr="00C03A02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происходить замена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материало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- и энергоемких приборов на более экономичные устройства (ламп накаливания на светодиоды, нагревательных печей на микроволновые печи, холодильников, телевизоров на более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энергоэфективные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 их аналоги и др.), широкое применение найдут аккумуляторные, телекоммуникационные средства [19].</w:t>
      </w:r>
      <w:proofErr w:type="gramEnd"/>
    </w:p>
    <w:p w:rsidR="008C0A69" w:rsidRPr="00C03A02" w:rsidRDefault="008C0A69" w:rsidP="008C0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Градостроительная политика в перспективе будет ориентирована на более интенсивное развитие жилой малоэтажной застройки на свободной территории, что будет способствовать развитию использования ВИЭ, 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хранения электрической  энергии, появлению активных потребителей, самостоятельно управляющих собственным  электропотреблением в зависимости от ценовых условий на розничном рынке электроэнергии [20]. 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02">
        <w:rPr>
          <w:rFonts w:ascii="Times New Roman" w:hAnsi="Times New Roman" w:cs="Times New Roman"/>
          <w:sz w:val="28"/>
          <w:szCs w:val="28"/>
        </w:rPr>
        <w:t>Перспективное изменение в потреблении электроэнергии домохозяйствами будет зависеть от соотношения темпов роста доходов населения и стоимости электроэнергии, от достижения нового уровня насыщения домашних хозяйств бытовой электротехникой, от будущих условий снабжения электрической и тепловой энергией. Е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все основания прогнозировать, что дальнейшая электрификация страны принесет в перспективе новые возможности повышения качества жизни в России.</w:t>
      </w: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69" w:rsidRPr="00C03A02" w:rsidRDefault="008C0A69" w:rsidP="008C0A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ЛИТЕРАТУРА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co"/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Академический словарь. 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A02">
        <w:rPr>
          <w:rFonts w:ascii="Times New Roman" w:hAnsi="Times New Roman" w:cs="Times New Roman"/>
          <w:sz w:val="28"/>
          <w:szCs w:val="28"/>
        </w:rPr>
        <w:t xml:space="preserve">: </w:t>
      </w:r>
      <w:r w:rsidRPr="00C03A02">
        <w:rPr>
          <w:rStyle w:val="ico"/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dic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nsf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ruwiki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/220971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Pr="00C03A02">
        <w:rPr>
          <w:rStyle w:val="ico"/>
          <w:rFonts w:ascii="Times New Roman" w:hAnsi="Times New Roman" w:cs="Times New Roman"/>
          <w:sz w:val="28"/>
          <w:szCs w:val="28"/>
        </w:rPr>
        <w:t>14.12.2016).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Ковынёва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, О.А.  Управление качеством жизни населения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монография / О.А.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Ковынёва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, Б.И. Герасимов ; под науч. ред. д-ра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. наук, проф. Б.И. Герасимова. – Тамбов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Тамб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. ун-та, 2006. – 88 с.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Харитонова Т.В., Мастерских И.П. </w:t>
      </w:r>
      <w:r w:rsidRPr="00C03A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Исследование качества жизни населения в Российской Федерации //</w:t>
      </w: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 и предпринимательство» ФГОУВПО «Российский государственный университет туризма и сервиса» 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A02">
        <w:rPr>
          <w:rFonts w:ascii="Times New Roman" w:hAnsi="Times New Roman" w:cs="Times New Roman"/>
          <w:sz w:val="28"/>
          <w:szCs w:val="28"/>
        </w:rPr>
        <w:t xml:space="preserve">:  </w:t>
      </w:r>
      <w:hyperlink r:id="rId21" w:history="1"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http://www.cfin.ru/press/practical/2009-06/01.shtml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(дата обращения 14.12. 2016) 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IEA STATISTICS. Electricity Information. 2015,OECD/IEA, Paris </w:t>
      </w:r>
      <w:proofErr w:type="spellStart"/>
      <w:r w:rsidRPr="00C03A02">
        <w:rPr>
          <w:rFonts w:ascii="Times New Roman" w:hAnsi="Times New Roman" w:cs="Times New Roman"/>
          <w:sz w:val="28"/>
          <w:szCs w:val="28"/>
          <w:lang w:val="en-US"/>
        </w:rPr>
        <w:t>Cedex</w:t>
      </w:r>
      <w:proofErr w:type="spellEnd"/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15, France; 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Curbing Global Energy Demand Growth: The Energy Productivity Opportunity. McKinsey Global Institute. URL:  </w:t>
      </w:r>
      <w:hyperlink r:id="rId22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www.mckinsey.com/mgi</w:t>
        </w:r>
      </w:hyperlink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03A02">
        <w:rPr>
          <w:rFonts w:ascii="Times New Roman" w:hAnsi="Times New Roman" w:cs="Times New Roman"/>
          <w:sz w:val="28"/>
          <w:szCs w:val="28"/>
        </w:rPr>
        <w:t>дата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</w:rPr>
        <w:t>обращения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14.09. </w:t>
      </w:r>
      <w:r w:rsidRPr="00C03A02">
        <w:rPr>
          <w:rFonts w:ascii="Times New Roman" w:hAnsi="Times New Roman" w:cs="Times New Roman"/>
          <w:sz w:val="28"/>
          <w:szCs w:val="28"/>
        </w:rPr>
        <w:t xml:space="preserve">2016) 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Регионы России. Социально-экономические показатели. 2015: Стат. сб. / Росстат. М., 2015. </w:t>
      </w:r>
      <w:r w:rsidRPr="00C03A02">
        <w:rPr>
          <w:rFonts w:ascii="Times New Roman" w:hAnsi="Times New Roman" w:cs="Times New Roman"/>
          <w:sz w:val="28"/>
          <w:szCs w:val="28"/>
        </w:rPr>
        <w:t xml:space="preserve"> 1266 с.; 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 «Аналитики дают прогноз жилью в 2010 году». 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A02">
        <w:rPr>
          <w:rFonts w:ascii="Times New Roman" w:hAnsi="Times New Roman" w:cs="Times New Roman"/>
          <w:sz w:val="28"/>
          <w:szCs w:val="28"/>
        </w:rPr>
        <w:t xml:space="preserve">:  </w:t>
      </w:r>
      <w:hyperlink r:id="rId23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realty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vz</w:t>
        </w:r>
        <w:proofErr w:type="spellEnd"/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forecast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/2010/1/11/1528.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 (дата обращения13.09.2016);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  <w:lang w:val="en-US"/>
        </w:rPr>
        <w:t>Statistical Handbook of Japan 2016.  Statistics Bureau Ministry of Internal Affairs and Communications Japan. URL</w:t>
      </w:r>
      <w:r w:rsidRPr="00C03A02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jp</w:t>
        </w:r>
        <w:proofErr w:type="spellEnd"/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data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handbook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  (дата обращения 14.09.2016)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International Energy Outlook-2016 </w:t>
      </w:r>
      <w:hyperlink r:id="rId25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URL:http://www.eia.gov/forecasts/ieo/</w:t>
        </w:r>
      </w:hyperlink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03A02">
        <w:rPr>
          <w:rFonts w:ascii="Times New Roman" w:hAnsi="Times New Roman" w:cs="Times New Roman"/>
          <w:sz w:val="28"/>
          <w:szCs w:val="28"/>
        </w:rPr>
        <w:t>дата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</w:rPr>
        <w:t>обращения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14.09.2016)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Медведева Е.А., Никитин В.М. Энергопотребление и уровень жизни. – Новосибирск: Наука.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, 1991. – 137 с.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co"/>
          <w:rFonts w:ascii="Times New Roman" w:hAnsi="Times New Roman" w:cs="Times New Roman"/>
          <w:sz w:val="28"/>
          <w:szCs w:val="28"/>
        </w:rPr>
      </w:pPr>
      <w:r w:rsidRPr="00C03A02">
        <w:rPr>
          <w:rStyle w:val="ico"/>
          <w:rFonts w:ascii="Times New Roman" w:hAnsi="Times New Roman" w:cs="Times New Roman"/>
          <w:sz w:val="28"/>
          <w:szCs w:val="28"/>
        </w:rPr>
        <w:t>Фридрих Б.. Электрическая медицина// Газета "Энергетика и промышленность России" № 12 (176) июнь 2011 года.</w:t>
      </w:r>
      <w:r w:rsidRPr="00C03A02">
        <w:rPr>
          <w:rFonts w:ascii="Times New Roman" w:hAnsi="Times New Roman" w:cs="Times New Roman"/>
          <w:sz w:val="28"/>
          <w:szCs w:val="28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A02">
        <w:rPr>
          <w:rFonts w:ascii="Times New Roman" w:hAnsi="Times New Roman" w:cs="Times New Roman"/>
          <w:sz w:val="28"/>
          <w:szCs w:val="28"/>
        </w:rPr>
        <w:t xml:space="preserve">: </w:t>
      </w:r>
      <w:r w:rsidRPr="00C03A02">
        <w:rPr>
          <w:rStyle w:val="ico"/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http://www.eprussia.ru/epr/176/13105.htm</w:t>
        </w:r>
      </w:hyperlink>
      <w:r w:rsidRPr="00C03A02">
        <w:rPr>
          <w:rStyle w:val="ico"/>
          <w:rFonts w:ascii="Times New Roman" w:hAnsi="Times New Roman" w:cs="Times New Roman"/>
          <w:sz w:val="28"/>
          <w:szCs w:val="28"/>
        </w:rPr>
        <w:t xml:space="preserve">. </w:t>
      </w:r>
      <w:r w:rsidRPr="00C03A02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Pr="00C03A02">
        <w:rPr>
          <w:rStyle w:val="ico"/>
          <w:rFonts w:ascii="Times New Roman" w:hAnsi="Times New Roman" w:cs="Times New Roman"/>
          <w:sz w:val="28"/>
          <w:szCs w:val="28"/>
        </w:rPr>
        <w:t>14.12.2016)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ico"/>
          <w:rFonts w:ascii="Times New Roman" w:hAnsi="Times New Roman" w:cs="Times New Roman"/>
          <w:sz w:val="28"/>
          <w:szCs w:val="28"/>
          <w:lang w:val="en-US"/>
        </w:rPr>
      </w:pP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International Energy Outlook-2013 URL: </w:t>
      </w:r>
      <w:r w:rsidRPr="00C03A02">
        <w:rPr>
          <w:rStyle w:val="ico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7" w:history="1">
        <w:r w:rsidRPr="00C03A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http://www.eia.gov/forecasts/ieo/</w:t>
        </w:r>
      </w:hyperlink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C03A02">
        <w:rPr>
          <w:rFonts w:ascii="Times New Roman" w:hAnsi="Times New Roman" w:cs="Times New Roman"/>
          <w:sz w:val="28"/>
          <w:szCs w:val="28"/>
        </w:rPr>
        <w:t>дата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3A02">
        <w:rPr>
          <w:rFonts w:ascii="Times New Roman" w:hAnsi="Times New Roman" w:cs="Times New Roman"/>
          <w:sz w:val="28"/>
          <w:szCs w:val="28"/>
        </w:rPr>
        <w:t>обращения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3A02">
        <w:rPr>
          <w:rStyle w:val="ico"/>
          <w:rFonts w:ascii="Times New Roman" w:hAnsi="Times New Roman" w:cs="Times New Roman"/>
          <w:sz w:val="28"/>
          <w:szCs w:val="28"/>
          <w:lang w:val="en-US"/>
        </w:rPr>
        <w:t>14.12.2016)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 Ю.Н., Федоров Ю.Г. Концептуальные направления развития энергетической инфраструктуры «умного» города. //Энергетическая политика</w:t>
      </w:r>
      <w:proofErr w:type="gram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ып</w:t>
      </w:r>
      <w:proofErr w:type="spell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. 5. – 2014. - с. 64-71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"умный" город? </w:t>
      </w:r>
      <w:r w:rsidRPr="00C03A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3A02">
        <w:rPr>
          <w:rFonts w:ascii="Times New Roman" w:hAnsi="Times New Roman" w:cs="Times New Roman"/>
          <w:sz w:val="28"/>
          <w:szCs w:val="28"/>
        </w:rPr>
        <w:t>:</w:t>
      </w:r>
      <w:r w:rsidRPr="00C03A02">
        <w:rPr>
          <w:sz w:val="28"/>
          <w:szCs w:val="28"/>
        </w:rPr>
        <w:t xml:space="preserve"> </w:t>
      </w:r>
      <w:hyperlink r:id="rId28" w:history="1"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itunews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itu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int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Note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aspx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Note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=4231</w:t>
        </w:r>
      </w:hyperlink>
    </w:p>
    <w:p w:rsidR="008C0A69" w:rsidRPr="00C03A02" w:rsidRDefault="008C0A69" w:rsidP="008C0A69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Style w:val="ico"/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 w:rsidRPr="00C03A02">
        <w:rPr>
          <w:rStyle w:val="ico"/>
          <w:rFonts w:ascii="Times New Roman" w:hAnsi="Times New Roman" w:cs="Times New Roman"/>
          <w:sz w:val="28"/>
          <w:szCs w:val="28"/>
        </w:rPr>
        <w:t>14.12.2016)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Регионы России. Социально-экономические показатели. 2015: Стат. сб. / Росстат.</w:t>
      </w:r>
      <w:r w:rsidRPr="00C03A02">
        <w:rPr>
          <w:rFonts w:ascii="Times New Roman" w:hAnsi="Times New Roman" w:cs="Times New Roman"/>
          <w:sz w:val="28"/>
          <w:szCs w:val="28"/>
        </w:rPr>
        <w:t xml:space="preserve"> М., 2015. </w:t>
      </w:r>
      <w:r w:rsidRPr="00C03A02">
        <w:rPr>
          <w:rFonts w:ascii="Times New Roman" w:hAnsi="Times New Roman" w:cs="Times New Roman"/>
          <w:sz w:val="28"/>
          <w:szCs w:val="28"/>
        </w:rPr>
        <w:t> 1266 с.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Japan Energy Conservation Handbook 2013. The Energy Conservation Center, Japan. </w:t>
      </w:r>
      <w:hyperlink r:id="rId29" w:history="1"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asiaeec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col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eccj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jp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databook</w:t>
        </w:r>
        <w:proofErr w:type="spellEnd"/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/2013/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handbook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13.</w:t>
        </w:r>
        <w:r w:rsidRPr="00C03A0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14.09.2016)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>Агеева Е.В., Коган Ю.М. Потребление электроэнергии и электрификация в России (1990-2007 гг.) //Энергетик, 2008, №10, с.7-11.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Проект Энергетической стратегии Российской Федерации на период до 2035. [Электронный ресурс] / Министерство энергетики РФ. – Режим доступа. URL:  </w:t>
      </w:r>
      <w:hyperlink r:id="rId30" w:history="1">
        <w:r w:rsidRPr="00C03A02">
          <w:rPr>
            <w:rStyle w:val="a7"/>
            <w:rFonts w:ascii="Times New Roman" w:hAnsi="Times New Roman" w:cs="Times New Roman"/>
            <w:sz w:val="28"/>
            <w:szCs w:val="28"/>
          </w:rPr>
          <w:t>http://minenergo.gov.ru/node/1920</w:t>
        </w:r>
      </w:hyperlink>
      <w:r w:rsidRPr="00C03A02">
        <w:rPr>
          <w:rFonts w:ascii="Times New Roman" w:hAnsi="Times New Roman" w:cs="Times New Roman"/>
          <w:sz w:val="28"/>
          <w:szCs w:val="28"/>
        </w:rPr>
        <w:t xml:space="preserve">  (дата обращения: 01.01.2016).</w:t>
      </w:r>
    </w:p>
    <w:p w:rsidR="008C0A69" w:rsidRPr="00C03A02" w:rsidRDefault="008C0A69" w:rsidP="008C0A6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02">
        <w:rPr>
          <w:rFonts w:ascii="Times New Roman" w:hAnsi="Times New Roman" w:cs="Times New Roman"/>
          <w:sz w:val="28"/>
          <w:szCs w:val="28"/>
        </w:rPr>
        <w:t xml:space="preserve">Обоснование развития электроэнергетических систем: Методология, модели, методы, их использование/Н.И.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Подковальников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 xml:space="preserve">, В.В. Труфанов и др.; Отв. Ред. Н.И. </w:t>
      </w:r>
      <w:proofErr w:type="spellStart"/>
      <w:r w:rsidRPr="00C03A02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. - Новосибирск: Наука, 2015. – 448 с.</w:t>
      </w:r>
    </w:p>
    <w:p w:rsidR="002D27FA" w:rsidRDefault="008C0A69" w:rsidP="008C0A69">
      <w:proofErr w:type="spellStart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Воропай</w:t>
      </w:r>
      <w:proofErr w:type="spellEnd"/>
      <w:r w:rsidRPr="00C0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Осак А.Б.</w:t>
      </w:r>
      <w:r w:rsidRPr="00C03A02">
        <w:rPr>
          <w:rFonts w:ascii="Times New Roman" w:hAnsi="Times New Roman" w:cs="Times New Roman"/>
          <w:sz w:val="28"/>
          <w:szCs w:val="28"/>
        </w:rPr>
        <w:t xml:space="preserve"> Электроэнергетические системы будущего // Энергетическая политика</w:t>
      </w:r>
      <w:proofErr w:type="gramStart"/>
      <w:r w:rsidRPr="00C03A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C03A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3A02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C03A02">
        <w:rPr>
          <w:rFonts w:ascii="Times New Roman" w:hAnsi="Times New Roman" w:cs="Times New Roman"/>
          <w:sz w:val="28"/>
          <w:szCs w:val="28"/>
        </w:rPr>
        <w:t>. 5. - 2014. – С. 60-64.</w:t>
      </w:r>
    </w:p>
    <w:sectPr w:rsidR="002D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30" w:rsidRDefault="00BC7F30" w:rsidP="008C0A69">
      <w:pPr>
        <w:spacing w:after="0" w:line="240" w:lineRule="auto"/>
      </w:pPr>
      <w:r>
        <w:separator/>
      </w:r>
    </w:p>
  </w:endnote>
  <w:endnote w:type="continuationSeparator" w:id="0">
    <w:p w:rsidR="00BC7F30" w:rsidRDefault="00BC7F30" w:rsidP="008C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hitney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30" w:rsidRDefault="00BC7F30" w:rsidP="008C0A69">
      <w:pPr>
        <w:spacing w:after="0" w:line="240" w:lineRule="auto"/>
      </w:pPr>
      <w:r>
        <w:separator/>
      </w:r>
    </w:p>
  </w:footnote>
  <w:footnote w:type="continuationSeparator" w:id="0">
    <w:p w:rsidR="00BC7F30" w:rsidRDefault="00BC7F30" w:rsidP="008C0A69">
      <w:pPr>
        <w:spacing w:after="0" w:line="240" w:lineRule="auto"/>
      </w:pPr>
      <w:r>
        <w:continuationSeparator/>
      </w:r>
    </w:p>
  </w:footnote>
  <w:footnote w:id="1">
    <w:p w:rsidR="008C0A69" w:rsidRPr="00BE4817" w:rsidRDefault="008C0A69" w:rsidP="008C0A6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E4817">
        <w:rPr>
          <w:rFonts w:ascii="Times New Roman" w:hAnsi="Times New Roman" w:cs="Times New Roman"/>
        </w:rPr>
        <w:t>Страны, входящие в Организацию стран экономического развития (ОЭСР)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DAD"/>
    <w:multiLevelType w:val="multilevel"/>
    <w:tmpl w:val="664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15F75"/>
    <w:multiLevelType w:val="hybridMultilevel"/>
    <w:tmpl w:val="6C44D370"/>
    <w:lvl w:ilvl="0" w:tplc="E206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69"/>
    <w:rsid w:val="001A45ED"/>
    <w:rsid w:val="002D27FA"/>
    <w:rsid w:val="003467FD"/>
    <w:rsid w:val="00433A6F"/>
    <w:rsid w:val="004E5540"/>
    <w:rsid w:val="00564B10"/>
    <w:rsid w:val="00577F52"/>
    <w:rsid w:val="007F54E5"/>
    <w:rsid w:val="008C0084"/>
    <w:rsid w:val="008C0A69"/>
    <w:rsid w:val="00BC7F30"/>
    <w:rsid w:val="00C45474"/>
    <w:rsid w:val="00C47404"/>
    <w:rsid w:val="00CB1AAD"/>
    <w:rsid w:val="00CC4207"/>
    <w:rsid w:val="00C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"/>
    <w:basedOn w:val="a"/>
    <w:link w:val="a5"/>
    <w:unhideWhenUsed/>
    <w:rsid w:val="008C0A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Char Знак1,Texto de nota al pie Char Знак1,Texto de nota al pie Знак1,Текст сноски Знак Знак Char Char Знак1,Schriftart: 9 pt Знак1,Schriftart: 10 pt Знак1,Schriftart: 8 pt Знак1,single space Знак1"/>
    <w:basedOn w:val="a0"/>
    <w:link w:val="a4"/>
    <w:rsid w:val="008C0A69"/>
    <w:rPr>
      <w:sz w:val="20"/>
      <w:szCs w:val="20"/>
    </w:rPr>
  </w:style>
  <w:style w:type="character" w:styleId="a6">
    <w:name w:val="footnote reference"/>
    <w:basedOn w:val="a0"/>
    <w:semiHidden/>
    <w:unhideWhenUsed/>
    <w:rsid w:val="008C0A69"/>
    <w:rPr>
      <w:vertAlign w:val="superscript"/>
    </w:rPr>
  </w:style>
  <w:style w:type="character" w:styleId="a7">
    <w:name w:val="Hyperlink"/>
    <w:basedOn w:val="a0"/>
    <w:uiPriority w:val="99"/>
    <w:unhideWhenUsed/>
    <w:rsid w:val="008C0A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A69"/>
    <w:pPr>
      <w:ind w:left="720"/>
      <w:contextualSpacing/>
    </w:pPr>
  </w:style>
  <w:style w:type="character" w:customStyle="1" w:styleId="w">
    <w:name w:val="w"/>
    <w:basedOn w:val="a0"/>
    <w:rsid w:val="008C0A69"/>
  </w:style>
  <w:style w:type="character" w:styleId="a9">
    <w:name w:val="Emphasis"/>
    <w:basedOn w:val="a0"/>
    <w:uiPriority w:val="20"/>
    <w:qFormat/>
    <w:rsid w:val="008C0A69"/>
    <w:rPr>
      <w:i/>
      <w:iCs/>
    </w:rPr>
  </w:style>
  <w:style w:type="paragraph" w:styleId="aa">
    <w:name w:val="Normal (Web)"/>
    <w:basedOn w:val="a"/>
    <w:uiPriority w:val="99"/>
    <w:unhideWhenUsed/>
    <w:rsid w:val="008C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8C0A69"/>
  </w:style>
  <w:style w:type="paragraph" w:styleId="ab">
    <w:name w:val="Balloon Text"/>
    <w:basedOn w:val="a"/>
    <w:link w:val="ac"/>
    <w:uiPriority w:val="99"/>
    <w:semiHidden/>
    <w:unhideWhenUsed/>
    <w:rsid w:val="008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"/>
    <w:basedOn w:val="a"/>
    <w:link w:val="a5"/>
    <w:unhideWhenUsed/>
    <w:rsid w:val="008C0A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Char Знак1,Texto de nota al pie Char Знак1,Texto de nota al pie Знак1,Текст сноски Знак Знак Char Char Знак1,Schriftart: 9 pt Знак1,Schriftart: 10 pt Знак1,Schriftart: 8 pt Знак1,single space Знак1"/>
    <w:basedOn w:val="a0"/>
    <w:link w:val="a4"/>
    <w:rsid w:val="008C0A69"/>
    <w:rPr>
      <w:sz w:val="20"/>
      <w:szCs w:val="20"/>
    </w:rPr>
  </w:style>
  <w:style w:type="character" w:styleId="a6">
    <w:name w:val="footnote reference"/>
    <w:basedOn w:val="a0"/>
    <w:semiHidden/>
    <w:unhideWhenUsed/>
    <w:rsid w:val="008C0A69"/>
    <w:rPr>
      <w:vertAlign w:val="superscript"/>
    </w:rPr>
  </w:style>
  <w:style w:type="character" w:styleId="a7">
    <w:name w:val="Hyperlink"/>
    <w:basedOn w:val="a0"/>
    <w:uiPriority w:val="99"/>
    <w:unhideWhenUsed/>
    <w:rsid w:val="008C0A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0A69"/>
    <w:pPr>
      <w:ind w:left="720"/>
      <w:contextualSpacing/>
    </w:pPr>
  </w:style>
  <w:style w:type="character" w:customStyle="1" w:styleId="w">
    <w:name w:val="w"/>
    <w:basedOn w:val="a0"/>
    <w:rsid w:val="008C0A69"/>
  </w:style>
  <w:style w:type="character" w:styleId="a9">
    <w:name w:val="Emphasis"/>
    <w:basedOn w:val="a0"/>
    <w:uiPriority w:val="20"/>
    <w:qFormat/>
    <w:rsid w:val="008C0A69"/>
    <w:rPr>
      <w:i/>
      <w:iCs/>
    </w:rPr>
  </w:style>
  <w:style w:type="paragraph" w:styleId="aa">
    <w:name w:val="Normal (Web)"/>
    <w:basedOn w:val="a"/>
    <w:uiPriority w:val="99"/>
    <w:unhideWhenUsed/>
    <w:rsid w:val="008C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8C0A69"/>
  </w:style>
  <w:style w:type="paragraph" w:styleId="ab">
    <w:name w:val="Balloon Text"/>
    <w:basedOn w:val="a"/>
    <w:link w:val="ac"/>
    <w:uiPriority w:val="99"/>
    <w:semiHidden/>
    <w:unhideWhenUsed/>
    <w:rsid w:val="008C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2445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dic.academic.ru/dic.nsf/ruwiki/15203" TargetMode="External"/><Relationship Id="rId26" Type="http://schemas.openxmlformats.org/officeDocument/2006/relationships/hyperlink" Target="http://www.eprussia.ru/epr/176/13105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fin.ru/press/practical/2009-06/01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enc_philosophy/7405" TargetMode="External"/><Relationship Id="rId17" Type="http://schemas.openxmlformats.org/officeDocument/2006/relationships/hyperlink" Target="http://dic.academic.ru/dic.nsf/ruwiki/250732" TargetMode="External"/><Relationship Id="rId25" Type="http://schemas.openxmlformats.org/officeDocument/2006/relationships/hyperlink" Target="URL:http://www.eia.gov/forecasts/ie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7925" TargetMode="External"/><Relationship Id="rId20" Type="http://schemas.openxmlformats.org/officeDocument/2006/relationships/hyperlink" Target="http://dic.academic.ru/dic.nsf/ruwiki/220971" TargetMode="External"/><Relationship Id="rId29" Type="http://schemas.openxmlformats.org/officeDocument/2006/relationships/hyperlink" Target="http://www.asiaeec-col.eccj.or.jp/databook/2013/handbook13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nc_philosophy/7405" TargetMode="External"/><Relationship Id="rId24" Type="http://schemas.openxmlformats.org/officeDocument/2006/relationships/hyperlink" Target="http://www.stat.go.jp/english/data/handbook/index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6438" TargetMode="External"/><Relationship Id="rId23" Type="http://schemas.openxmlformats.org/officeDocument/2006/relationships/hyperlink" Target="http://realty.vz.ru/forecast/2010/1/11/1528.html" TargetMode="External"/><Relationship Id="rId28" Type="http://schemas.openxmlformats.org/officeDocument/2006/relationships/hyperlink" Target="https://itunews.itu.int/ru/Note.aspx?Note=4231" TargetMode="External"/><Relationship Id="rId10" Type="http://schemas.openxmlformats.org/officeDocument/2006/relationships/hyperlink" Target="http://dic.academic.ru/dic.nsf/enc_philosophy/509/%D0%BA%D0%B0%D1%87%D0%B5%D1%81%D1%82%D0%B2%D0%BE" TargetMode="External"/><Relationship Id="rId19" Type="http://schemas.openxmlformats.org/officeDocument/2006/relationships/hyperlink" Target="http://dic.academic.ru/dic.nsf/ruwiki/16099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philosophy/509" TargetMode="External"/><Relationship Id="rId14" Type="http://schemas.openxmlformats.org/officeDocument/2006/relationships/chart" Target="charts/chart2.xml"/><Relationship Id="rId22" Type="http://schemas.openxmlformats.org/officeDocument/2006/relationships/hyperlink" Target="http://www.mckinsey.com/mgi" TargetMode="External"/><Relationship Id="rId27" Type="http://schemas.openxmlformats.org/officeDocument/2006/relationships/hyperlink" Target="http://www.eia.gov/forecasts/ieo/" TargetMode="External"/><Relationship Id="rId30" Type="http://schemas.openxmlformats.org/officeDocument/2006/relationships/hyperlink" Target="http://minenergo.gov.ru/node/192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D\2016\&#1053;&#1040;&#1057;&#1045;&#1051;&#1045;&#1053;&#1048;&#1045;\C&#1090;&#1072;&#1090;&#1080;&#1089;&#1090;&#1080;&#1082;&#1072;%20&#1087;&#1086;%20&#1089;&#1090;&#1088;&#1072;&#1085;&#1072;&#1084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dD\2016\C&#1090;&#1072;&#1090;&#1080;&#1089;&#1090;&#1080;&#1082;&#1072;%20&#1087;&#1086;%20&#1089;&#1090;&#1088;&#1072;&#1085;&#1072;&#1084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Лист1!$A$43</c:f>
              <c:strCache>
                <c:ptCount val="1"/>
                <c:pt idx="0">
                  <c:v>США</c:v>
                </c:pt>
              </c:strCache>
            </c:strRef>
          </c:tx>
          <c:xVal>
            <c:numRef>
              <c:f>Лист1!$B$42:$G$42</c:f>
              <c:numCache>
                <c:formatCode>General</c:formatCode>
                <c:ptCount val="6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</c:numCache>
            </c:numRef>
          </c:xVal>
          <c:yVal>
            <c:numRef>
              <c:f>Лист1!$B$43:$G$43</c:f>
              <c:numCache>
                <c:formatCode>0.0000</c:formatCode>
                <c:ptCount val="6"/>
                <c:pt idx="0">
                  <c:v>63.013217406577965</c:v>
                </c:pt>
                <c:pt idx="1">
                  <c:v>69.685675370337123</c:v>
                </c:pt>
                <c:pt idx="2">
                  <c:v>70.372993389990569</c:v>
                </c:pt>
                <c:pt idx="3">
                  <c:v>70.644490644490645</c:v>
                </c:pt>
                <c:pt idx="4">
                  <c:v>66.671585830962158</c:v>
                </c:pt>
                <c:pt idx="5">
                  <c:v>58.604817728905317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Лист1!$A$44</c:f>
              <c:strCache>
                <c:ptCount val="1"/>
                <c:pt idx="0">
                  <c:v>Россия </c:v>
                </c:pt>
              </c:strCache>
            </c:strRef>
          </c:tx>
          <c:xVal>
            <c:numRef>
              <c:f>Лист1!$B$42:$G$42</c:f>
              <c:numCache>
                <c:formatCode>General</c:formatCode>
                <c:ptCount val="6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</c:numCache>
            </c:numRef>
          </c:xVal>
          <c:yVal>
            <c:numRef>
              <c:f>Лист1!$B$44:$G$44</c:f>
              <c:numCache>
                <c:formatCode>0.0000</c:formatCode>
                <c:ptCount val="6"/>
                <c:pt idx="1">
                  <c:v>32.694256756756758</c:v>
                </c:pt>
                <c:pt idx="2">
                  <c:v>37.842152868912216</c:v>
                </c:pt>
                <c:pt idx="3">
                  <c:v>36.675518185668523</c:v>
                </c:pt>
                <c:pt idx="4">
                  <c:v>39.354017945531261</c:v>
                </c:pt>
                <c:pt idx="5">
                  <c:v>41.93312300602075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Лист1!$A$45</c:f>
              <c:strCache>
                <c:ptCount val="1"/>
                <c:pt idx="0">
                  <c:v>Япония </c:v>
                </c:pt>
              </c:strCache>
            </c:strRef>
          </c:tx>
          <c:xVal>
            <c:numRef>
              <c:f>Лист1!$B$42:$G$42</c:f>
              <c:numCache>
                <c:formatCode>General</c:formatCode>
                <c:ptCount val="6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</c:numCache>
            </c:numRef>
          </c:xVal>
          <c:yVal>
            <c:numRef>
              <c:f>Лист1!$B$45:$G$45</c:f>
              <c:numCache>
                <c:formatCode>0.0000</c:formatCode>
                <c:ptCount val="6"/>
                <c:pt idx="0">
                  <c:v>9.1477305085711027</c:v>
                </c:pt>
                <c:pt idx="1">
                  <c:v>54.158607350096709</c:v>
                </c:pt>
                <c:pt idx="2">
                  <c:v>60.160667939705903</c:v>
                </c:pt>
                <c:pt idx="3">
                  <c:v>64.394766532008589</c:v>
                </c:pt>
                <c:pt idx="4">
                  <c:v>68.517560963348387</c:v>
                </c:pt>
                <c:pt idx="5">
                  <c:v>60.049576694700335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Лист1!$A$46</c:f>
              <c:strCache>
                <c:ptCount val="1"/>
                <c:pt idx="0">
                  <c:v>Германия </c:v>
                </c:pt>
              </c:strCache>
            </c:strRef>
          </c:tx>
          <c:xVal>
            <c:numRef>
              <c:f>Лист1!$B$42:$G$42</c:f>
              <c:numCache>
                <c:formatCode>General</c:formatCode>
                <c:ptCount val="6"/>
                <c:pt idx="0">
                  <c:v>1980</c:v>
                </c:pt>
                <c:pt idx="1">
                  <c:v>1990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2013</c:v>
                </c:pt>
              </c:numCache>
            </c:numRef>
          </c:xVal>
          <c:yVal>
            <c:numRef>
              <c:f>Лист1!$B$46:$G$46</c:f>
              <c:numCache>
                <c:formatCode>0.0000</c:formatCode>
                <c:ptCount val="6"/>
                <c:pt idx="0">
                  <c:v>45.191079673838296</c:v>
                </c:pt>
                <c:pt idx="1">
                  <c:v>47.988071236559144</c:v>
                </c:pt>
                <c:pt idx="2">
                  <c:v>39.595620997390938</c:v>
                </c:pt>
                <c:pt idx="3">
                  <c:v>38.925148014734809</c:v>
                </c:pt>
                <c:pt idx="4">
                  <c:v>37.018917155903445</c:v>
                </c:pt>
                <c:pt idx="5">
                  <c:v>33.130328867235079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632128"/>
        <c:axId val="171634048"/>
      </c:scatterChart>
      <c:valAx>
        <c:axId val="17163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Годы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634048"/>
        <c:crosses val="autoZero"/>
        <c:crossBetween val="midCat"/>
        <c:majorUnit val="10"/>
      </c:valAx>
      <c:valAx>
        <c:axId val="171634048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КВт.ч/кв.м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632128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7.2983158355205593E-2"/>
          <c:y val="0.83723571011956843"/>
          <c:w val="0.85403346456692908"/>
          <c:h val="8.8690215806357539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США</c:v>
                </c:pt>
              </c:strCache>
            </c:strRef>
          </c:tx>
          <c:xVal>
            <c:numRef>
              <c:f>Лист1!$B$18:$L$18</c:f>
              <c:numCache>
                <c:formatCode>0</c:formatCode>
                <c:ptCount val="11"/>
                <c:pt idx="0">
                  <c:v>23.541945833726526</c:v>
                </c:pt>
                <c:pt idx="1">
                  <c:v>26.055196943749177</c:v>
                </c:pt>
                <c:pt idx="2">
                  <c:v>32.926373011431771</c:v>
                </c:pt>
                <c:pt idx="3">
                  <c:v>40.906844173777571</c:v>
                </c:pt>
                <c:pt idx="4">
                  <c:v>42.13045862091208</c:v>
                </c:pt>
                <c:pt idx="5">
                  <c:v>45.224406173942512</c:v>
                </c:pt>
                <c:pt idx="6">
                  <c:v>49.520663827287422</c:v>
                </c:pt>
                <c:pt idx="7">
                  <c:v>53.258682601133373</c:v>
                </c:pt>
                <c:pt idx="8">
                  <c:v>57.34306275341693</c:v>
                </c:pt>
                <c:pt idx="9">
                  <c:v>62.043800695249125</c:v>
                </c:pt>
                <c:pt idx="10">
                  <c:v>67.451569029896888</c:v>
                </c:pt>
              </c:numCache>
            </c:numRef>
          </c:xVal>
          <c:yVal>
            <c:numRef>
              <c:f>Лист1!$B$25:$L$25</c:f>
              <c:numCache>
                <c:formatCode>0.00</c:formatCode>
                <c:ptCount val="11"/>
                <c:pt idx="0">
                  <c:v>4.7315277908842122</c:v>
                </c:pt>
                <c:pt idx="1">
                  <c:v>5.604443858955781</c:v>
                </c:pt>
                <c:pt idx="2">
                  <c:v>7.0465265009193381</c:v>
                </c:pt>
                <c:pt idx="3">
                  <c:v>8.330205714690365</c:v>
                </c:pt>
                <c:pt idx="4">
                  <c:v>8.5341756434239002</c:v>
                </c:pt>
                <c:pt idx="5">
                  <c:v>8.2920237530423009</c:v>
                </c:pt>
                <c:pt idx="6">
                  <c:v>8.232455397268323</c:v>
                </c:pt>
                <c:pt idx="7">
                  <c:v>8.2566449250967846</c:v>
                </c:pt>
                <c:pt idx="8">
                  <c:v>8.33140350688757</c:v>
                </c:pt>
                <c:pt idx="9">
                  <c:v>8.4031811510235617</c:v>
                </c:pt>
                <c:pt idx="10">
                  <c:v>8.5167080046489794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Канада</c:v>
                </c:pt>
              </c:strCache>
            </c:strRef>
          </c:tx>
          <c:xVal>
            <c:numRef>
              <c:f>Лист1!$B$19:$L$19</c:f>
              <c:numCache>
                <c:formatCode>0</c:formatCode>
                <c:ptCount val="11"/>
                <c:pt idx="0">
                  <c:v>20.931969764339708</c:v>
                </c:pt>
                <c:pt idx="1">
                  <c:v>24.32137030995106</c:v>
                </c:pt>
                <c:pt idx="2">
                  <c:v>27.963537906137187</c:v>
                </c:pt>
                <c:pt idx="3">
                  <c:v>33.459758879113721</c:v>
                </c:pt>
                <c:pt idx="4">
                  <c:v>35.285294980921634</c:v>
                </c:pt>
                <c:pt idx="5">
                  <c:v>37.485134759655459</c:v>
                </c:pt>
                <c:pt idx="6">
                  <c:v>40.039810176641183</c:v>
                </c:pt>
                <c:pt idx="7">
                  <c:v>41.909634055265123</c:v>
                </c:pt>
                <c:pt idx="8">
                  <c:v>43.909090909090907</c:v>
                </c:pt>
                <c:pt idx="9">
                  <c:v>46.714903299203634</c:v>
                </c:pt>
                <c:pt idx="10">
                  <c:v>50.028246113422377</c:v>
                </c:pt>
              </c:numCache>
            </c:numRef>
          </c:xVal>
          <c:yVal>
            <c:numRef>
              <c:f>Лист1!$B$26:$L$26</c:f>
              <c:numCache>
                <c:formatCode>0.00</c:formatCode>
                <c:ptCount val="11"/>
                <c:pt idx="0">
                  <c:v>4.8421520675855945</c:v>
                </c:pt>
                <c:pt idx="1">
                  <c:v>6.4192495921696562</c:v>
                </c:pt>
                <c:pt idx="2">
                  <c:v>7.6</c:v>
                </c:pt>
                <c:pt idx="3">
                  <c:v>8.6021505376344081</c:v>
                </c:pt>
                <c:pt idx="4">
                  <c:v>9.1328136190196645</c:v>
                </c:pt>
                <c:pt idx="5">
                  <c:v>9.4168249513753803</c:v>
                </c:pt>
                <c:pt idx="6">
                  <c:v>9.8539709992090696</c:v>
                </c:pt>
                <c:pt idx="7">
                  <c:v>10.256675877520538</c:v>
                </c:pt>
                <c:pt idx="8">
                  <c:v>10.750014716354141</c:v>
                </c:pt>
                <c:pt idx="9">
                  <c:v>11.303856655290103</c:v>
                </c:pt>
                <c:pt idx="10">
                  <c:v>11.926801839281804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Европа ОСЭР</c:v>
                </c:pt>
              </c:strCache>
            </c:strRef>
          </c:tx>
          <c:xVal>
            <c:numRef>
              <c:f>Лист1!$B$20:$L$20</c:f>
              <c:numCache>
                <c:formatCode>0</c:formatCode>
                <c:ptCount val="11"/>
                <c:pt idx="0">
                  <c:v>16.077643232314355</c:v>
                </c:pt>
                <c:pt idx="1">
                  <c:v>18.268669002490608</c:v>
                </c:pt>
                <c:pt idx="2">
                  <c:v>22.142822861256647</c:v>
                </c:pt>
                <c:pt idx="3">
                  <c:v>26.605999616637913</c:v>
                </c:pt>
                <c:pt idx="4">
                  <c:v>26.268711700540909</c:v>
                </c:pt>
                <c:pt idx="5">
                  <c:v>27.363272542170574</c:v>
                </c:pt>
                <c:pt idx="6">
                  <c:v>29.923884740735634</c:v>
                </c:pt>
                <c:pt idx="7">
                  <c:v>32.693804316399941</c:v>
                </c:pt>
                <c:pt idx="8">
                  <c:v>35.36941291387383</c:v>
                </c:pt>
                <c:pt idx="9">
                  <c:v>38.367805710271462</c:v>
                </c:pt>
                <c:pt idx="10">
                  <c:v>41.75260117531505</c:v>
                </c:pt>
              </c:numCache>
            </c:numRef>
          </c:xVal>
          <c:yVal>
            <c:numRef>
              <c:f>Лист1!$B$27:$L$27</c:f>
              <c:numCache>
                <c:formatCode>0.00</c:formatCode>
                <c:ptCount val="11"/>
                <c:pt idx="0">
                  <c:v>1.1816803287695319</c:v>
                </c:pt>
                <c:pt idx="1">
                  <c:v>1.6081303558613704</c:v>
                </c:pt>
                <c:pt idx="2">
                  <c:v>2.1937367515898094</c:v>
                </c:pt>
                <c:pt idx="3">
                  <c:v>2.7331799884991375</c:v>
                </c:pt>
                <c:pt idx="4">
                  <c:v>3.0023020108899998</c:v>
                </c:pt>
                <c:pt idx="5">
                  <c:v>3.9163687490126549</c:v>
                </c:pt>
                <c:pt idx="6">
                  <c:v>4.1392648341984097</c:v>
                </c:pt>
                <c:pt idx="7">
                  <c:v>4.3773335260803758</c:v>
                </c:pt>
                <c:pt idx="8">
                  <c:v>4.6025358045067204</c:v>
                </c:pt>
                <c:pt idx="9">
                  <c:v>4.8163663505444338</c:v>
                </c:pt>
                <c:pt idx="10">
                  <c:v>5.0298690505918184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Лист1!$A$21</c:f>
              <c:strCache>
                <c:ptCount val="1"/>
                <c:pt idx="0">
                  <c:v>Япония</c:v>
                </c:pt>
              </c:strCache>
            </c:strRef>
          </c:tx>
          <c:xVal>
            <c:numRef>
              <c:f>Лист1!$B$21:$L$21</c:f>
              <c:numCache>
                <c:formatCode>0</c:formatCode>
                <c:ptCount val="11"/>
                <c:pt idx="0">
                  <c:v>17.852305144013986</c:v>
                </c:pt>
                <c:pt idx="1">
                  <c:v>20.957965927574694</c:v>
                </c:pt>
                <c:pt idx="2">
                  <c:v>31.189423388402979</c:v>
                </c:pt>
                <c:pt idx="3">
                  <c:v>33.940754746710788</c:v>
                </c:pt>
                <c:pt idx="4">
                  <c:v>30.827295440349779</c:v>
                </c:pt>
                <c:pt idx="5">
                  <c:v>33.254970022088983</c:v>
                </c:pt>
                <c:pt idx="6">
                  <c:v>35.493661745827985</c:v>
                </c:pt>
                <c:pt idx="7">
                  <c:v>37.779763857002294</c:v>
                </c:pt>
                <c:pt idx="8">
                  <c:v>39.295355466130111</c:v>
                </c:pt>
                <c:pt idx="9">
                  <c:v>40.662778730703259</c:v>
                </c:pt>
                <c:pt idx="10">
                  <c:v>41.396067415730336</c:v>
                </c:pt>
              </c:numCache>
            </c:numRef>
          </c:xVal>
          <c:yVal>
            <c:numRef>
              <c:f>Лист1!$B$28:$L$28</c:f>
              <c:numCache>
                <c:formatCode>0.00</c:formatCode>
                <c:ptCount val="11"/>
                <c:pt idx="0">
                  <c:v>1.0057973681788903</c:v>
                </c:pt>
                <c:pt idx="1">
                  <c:v>1.447650029963188</c:v>
                </c:pt>
                <c:pt idx="2">
                  <c:v>3.1891804340783927</c:v>
                </c:pt>
                <c:pt idx="3">
                  <c:v>4.4244859371307008</c:v>
                </c:pt>
                <c:pt idx="4">
                  <c:v>5.1393230793253997</c:v>
                </c:pt>
                <c:pt idx="5">
                  <c:v>5.6624533764594513</c:v>
                </c:pt>
                <c:pt idx="6">
                  <c:v>6.0541234756097566</c:v>
                </c:pt>
                <c:pt idx="7">
                  <c:v>6.550530255821581</c:v>
                </c:pt>
                <c:pt idx="8">
                  <c:v>6.9250035211267615</c:v>
                </c:pt>
                <c:pt idx="9">
                  <c:v>7.2877831903945118</c:v>
                </c:pt>
                <c:pt idx="10">
                  <c:v>7.5994511060393268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Лист1!$A$22</c:f>
              <c:strCache>
                <c:ptCount val="1"/>
                <c:pt idx="0">
                  <c:v>Россия</c:v>
                </c:pt>
              </c:strCache>
            </c:strRef>
          </c:tx>
          <c:xVal>
            <c:numRef>
              <c:f>Лист1!$B$22:$L$22</c:f>
              <c:numCache>
                <c:formatCode>General</c:formatCode>
                <c:ptCount val="11"/>
                <c:pt idx="2" formatCode="0">
                  <c:v>12.731951781118786</c:v>
                </c:pt>
                <c:pt idx="3" formatCode="0">
                  <c:v>8.6534762297334442</c:v>
                </c:pt>
                <c:pt idx="4" formatCode="0">
                  <c:v>15.129461161651504</c:v>
                </c:pt>
                <c:pt idx="5" formatCode="0">
                  <c:v>16.604573378839593</c:v>
                </c:pt>
                <c:pt idx="6" formatCode="0">
                  <c:v>21.02602467735073</c:v>
                </c:pt>
                <c:pt idx="7" formatCode="0">
                  <c:v>24.985111127094871</c:v>
                </c:pt>
                <c:pt idx="8" formatCode="0">
                  <c:v>28.664809792567613</c:v>
                </c:pt>
                <c:pt idx="9" formatCode="0">
                  <c:v>32.431369617224888</c:v>
                </c:pt>
                <c:pt idx="10" formatCode="0">
                  <c:v>35.177711761121266</c:v>
                </c:pt>
              </c:numCache>
            </c:numRef>
          </c:xVal>
          <c:yVal>
            <c:numRef>
              <c:f>Лист1!$B$29:$L$29</c:f>
              <c:numCache>
                <c:formatCode>General</c:formatCode>
                <c:ptCount val="11"/>
                <c:pt idx="2">
                  <c:v>1.18</c:v>
                </c:pt>
                <c:pt idx="3">
                  <c:v>1.4</c:v>
                </c:pt>
                <c:pt idx="4" formatCode="0.00">
                  <c:v>1.72</c:v>
                </c:pt>
                <c:pt idx="5" formatCode="0.00">
                  <c:v>1.898293515358362</c:v>
                </c:pt>
                <c:pt idx="6" formatCode="0.00">
                  <c:v>2.8671922422351437</c:v>
                </c:pt>
                <c:pt idx="7" formatCode="0.00">
                  <c:v>3.4184107746529526</c:v>
                </c:pt>
                <c:pt idx="8" formatCode="0.00">
                  <c:v>4.0197860441251931</c:v>
                </c:pt>
                <c:pt idx="9" formatCode="0.00">
                  <c:v>4.6423569078947367</c:v>
                </c:pt>
                <c:pt idx="10" formatCode="0.00">
                  <c:v>5.2328441499085931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Лист1!$A$23</c:f>
              <c:strCache>
                <c:ptCount val="1"/>
                <c:pt idx="0">
                  <c:v>Китай</c:v>
                </c:pt>
              </c:strCache>
            </c:strRef>
          </c:tx>
          <c:xVal>
            <c:numRef>
              <c:f>Лист1!$B$23:$L$23</c:f>
              <c:numCache>
                <c:formatCode>General</c:formatCode>
                <c:ptCount val="11"/>
                <c:pt idx="4" formatCode="0">
                  <c:v>6.8360292637089737</c:v>
                </c:pt>
                <c:pt idx="5" formatCode="0">
                  <c:v>10.014435714702961</c:v>
                </c:pt>
                <c:pt idx="6" formatCode="0">
                  <c:v>13.62515764970416</c:v>
                </c:pt>
                <c:pt idx="7" formatCode="0">
                  <c:v>18.066443015562388</c:v>
                </c:pt>
                <c:pt idx="8" formatCode="0">
                  <c:v>23.569300355386439</c:v>
                </c:pt>
                <c:pt idx="9" formatCode="0">
                  <c:v>29.663927839753292</c:v>
                </c:pt>
                <c:pt idx="10" formatCode="0">
                  <c:v>35.573385561737055</c:v>
                </c:pt>
              </c:numCache>
            </c:numRef>
          </c:xVal>
          <c:yVal>
            <c:numRef>
              <c:f>Лист1!$B$30:$L$30</c:f>
              <c:numCache>
                <c:formatCode>General</c:formatCode>
                <c:ptCount val="11"/>
                <c:pt idx="4" formatCode="0.00">
                  <c:v>0.525910463789516</c:v>
                </c:pt>
                <c:pt idx="5" formatCode="0.00">
                  <c:v>0.78240184882294517</c:v>
                </c:pt>
                <c:pt idx="6" formatCode="0.00">
                  <c:v>1.0841301267683794</c:v>
                </c:pt>
                <c:pt idx="7" formatCode="0.00">
                  <c:v>1.4468323476914475</c:v>
                </c:pt>
                <c:pt idx="8" formatCode="0.00">
                  <c:v>1.8857429227842195</c:v>
                </c:pt>
                <c:pt idx="9" formatCode="0.00">
                  <c:v>2.3887935382989358</c:v>
                </c:pt>
                <c:pt idx="10" formatCode="0.00">
                  <c:v>2.9175371612931675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020096"/>
        <c:axId val="198026368"/>
      </c:scatterChart>
      <c:valAx>
        <c:axId val="198020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Душевой ВВП, долл. (2005 г.)/чел.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026368"/>
        <c:crosses val="autoZero"/>
        <c:crossBetween val="midCat"/>
      </c:valAx>
      <c:valAx>
        <c:axId val="198026368"/>
        <c:scaling>
          <c:orientation val="minMax"/>
        </c:scaling>
        <c:delete val="0"/>
        <c:axPos val="l"/>
        <c:majorGridlines>
          <c:spPr>
            <a:ln>
              <a:solidFill>
                <a:schemeClr val="bg2">
                  <a:lumMod val="90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Душевое потребление электроэнергии, КВт.ч/чел</a:t>
                </a: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8020096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1.5861316266304989E-2"/>
          <c:y val="0.80049401951964483"/>
          <c:w val="0.95495575502591112"/>
          <c:h val="0.144539353075565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K_Goroshkin</dc:creator>
  <cp:lastModifiedBy>K_Goroshkin</cp:lastModifiedBy>
  <cp:revision>1</cp:revision>
  <dcterms:created xsi:type="dcterms:W3CDTF">2016-12-28T07:47:00Z</dcterms:created>
  <dcterms:modified xsi:type="dcterms:W3CDTF">2016-12-28T07:48:00Z</dcterms:modified>
</cp:coreProperties>
</file>